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rPr>
          <w:sz w:val="22"/>
          <w:szCs w:val="22"/>
        </w:rPr>
      </w:pPr>
      <w:r/>
      <w:bookmarkStart w:id="0" w:name="_Toc51586312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35"/>
        <w:ind w:firstLine="0"/>
        <w:jc w:val="center"/>
        <w:widowControl w:val="off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</w:r>
      <w:r>
        <w:rPr>
          <w:rFonts w:eastAsia="MS Mincho"/>
          <w:b/>
          <w:szCs w:val="28"/>
        </w:rPr>
      </w:r>
      <w:r>
        <w:rPr>
          <w:rFonts w:eastAsia="MS Mincho"/>
          <w:b/>
          <w:szCs w:val="28"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  <w:sz w:val="28"/>
          <w:szCs w:val="28"/>
        </w:rPr>
        <w:outlineLvl w:val="0"/>
      </w:pPr>
      <w:r>
        <w:rPr>
          <w:b/>
          <w:iCs/>
          <w:sz w:val="28"/>
          <w:szCs w:val="28"/>
        </w:rPr>
        <w:t xml:space="preserve">Извещение о проведении Запроса предложений в электронной форме</w:t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  <w:t xml:space="preserve">по определению поставщика на поставку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t xml:space="preserve">разъединителей рубящего типа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н</w:t>
      </w:r>
      <w:r>
        <w:rPr>
          <w:b/>
          <w:bCs/>
          <w:sz w:val="28"/>
          <w:szCs w:val="28"/>
        </w:rPr>
        <w:t xml:space="preserve">ужд филиалов </w:t>
      </w:r>
      <w:r>
        <w:rPr>
          <w:b/>
          <w:bCs/>
          <w:sz w:val="28"/>
          <w:szCs w:val="28"/>
        </w:rPr>
        <w:t xml:space="preserve">ПАО «Россети Московский</w:t>
      </w:r>
      <w:r>
        <w:rPr>
          <w:b/>
          <w:bCs/>
          <w:sz w:val="28"/>
          <w:szCs w:val="28"/>
        </w:rPr>
        <w:t xml:space="preserve"> ре</w:t>
      </w:r>
      <w:r>
        <w:rPr>
          <w:b/>
          <w:bCs/>
          <w:sz w:val="28"/>
          <w:szCs w:val="28"/>
        </w:rPr>
        <w:t xml:space="preserve">гион»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  <w:sz w:val="28"/>
          <w:szCs w:val="28"/>
        </w:rPr>
        <w:outlineLvl w:val="0"/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jc w:val="center"/>
        <w:widowControl w:val="off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jc w:val="center"/>
        <w:widowControl w:val="off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г. Москва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0"/>
          <w:szCs w:val="20"/>
        </w:rPr>
        <w:t xml:space="preserve">2025 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250"/>
        <w:jc w:val="left"/>
        <w:spacing w:line="240" w:lineRule="auto"/>
        <w:tabs>
          <w:tab w:val="left" w:pos="9374" w:leader="dot"/>
        </w:tabs>
        <w:rPr>
          <w:rStyle w:val="1248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Style w:val="1248"/>
        </w:rPr>
      </w:r>
      <w:r>
        <w:rPr>
          <w:rStyle w:val="1248"/>
        </w:rPr>
      </w:r>
      <w:r>
        <w:rPr>
          <w:rStyle w:val="1248"/>
        </w:rPr>
      </w:r>
    </w:p>
    <w:p>
      <w:pPr>
        <w:pStyle w:val="1046"/>
        <w:keepNext w:val="0"/>
        <w:spacing w:before="0" w:after="0"/>
        <w:widowControl w:val="off"/>
      </w:pPr>
      <w:r/>
      <w:bookmarkStart w:id="1" w:name="_Toc422226767"/>
      <w:r/>
      <w:bookmarkStart w:id="2" w:name="_Toc422244119"/>
      <w:r/>
      <w:bookmarkStart w:id="3" w:name="_Toc193899"/>
      <w:r>
        <w:t xml:space="preserve">ОБЩИЕ СВЕДЕНИЯ О </w:t>
      </w:r>
      <w:bookmarkEnd w:id="1"/>
      <w:r/>
      <w:bookmarkEnd w:id="2"/>
      <w:r>
        <w:t xml:space="preserve">ЗАКУПКЕ</w:t>
      </w:r>
      <w:bookmarkEnd w:id="3"/>
      <w:r/>
      <w:r/>
    </w:p>
    <w:p>
      <w:pPr>
        <w:widowControl w:val="off"/>
      </w:pPr>
      <w:r/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Публичное акционерное общество «</w:t>
      </w:r>
      <w:r>
        <w:t xml:space="preserve">Россети</w:t>
      </w:r>
      <w:r>
        <w:t xml:space="preserve"> Московский регион» (далее - ПАО «</w:t>
      </w:r>
      <w:r>
        <w:t xml:space="preserve">Россети</w:t>
      </w:r>
      <w:r>
        <w:t xml:space="preserve"> Московский регион»</w:t>
      </w:r>
      <w: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>
        <w:rPr>
          <w:spacing w:val="-2"/>
        </w:rPr>
        <w:t xml:space="preserve">поставку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разъединителей рубящего типа</w:t>
      </w:r>
      <w:r>
        <w:rPr>
          <w:b/>
          <w:bCs/>
          <w:color w:val="000000"/>
        </w:rPr>
        <w:t xml:space="preserve"> </w:t>
      </w:r>
      <w:r>
        <w:rPr>
          <w:b/>
          <w:color w:val="000000"/>
        </w:rPr>
        <w:t xml:space="preserve">для н</w:t>
      </w:r>
      <w:r>
        <w:rPr>
          <w:b/>
          <w:bCs/>
        </w:rPr>
        <w:t xml:space="preserve">ужд филиалов </w:t>
      </w:r>
      <w:r>
        <w:rPr>
          <w:b/>
          <w:color w:val="000000"/>
        </w:rPr>
        <w:t xml:space="preserve">ПАО «Россети Московский</w:t>
      </w:r>
      <w:r>
        <w:rPr>
          <w:b/>
          <w:bCs/>
        </w:rPr>
        <w:t xml:space="preserve"> ре</w:t>
      </w:r>
      <w:r>
        <w:rPr>
          <w:b/>
          <w:color w:val="000000"/>
        </w:rPr>
        <w:t xml:space="preserve">гион»</w:t>
      </w:r>
      <w:r>
        <w:rPr>
          <w:b/>
          <w:bCs/>
          <w:color w:val="000000"/>
        </w:rPr>
        <w:t xml:space="preserve"> </w:t>
      </w:r>
      <w:r>
        <w:rPr>
          <w:spacing w:val="-2"/>
        </w:rPr>
        <w:t xml:space="preserve">(далее – запрос предложений, закупка)</w:t>
      </w:r>
      <w:r>
        <w:t xml:space="preserve">. </w:t>
      </w:r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Настоящее Извещение является неотъемлемой частью Документации о закупке (далее – Извещение/Извещение о закупке).</w:t>
      </w:r>
      <w:r/>
    </w:p>
    <w:tbl>
      <w:tblPr>
        <w:tblW w:w="493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Параметры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Условия запроса предложений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Нормативный документ, в соответствии с которым проводится закупка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4" w:name="_Toc422209950"/>
            <w:r/>
            <w:bookmarkStart w:id="5" w:name="_Toc422226770"/>
            <w:r/>
            <w:bookmarkStart w:id="6" w:name="_Toc422244122"/>
            <w:r>
              <w:t xml:space="preserve">Единый стандарт закупок ПАО «</w:t>
            </w:r>
            <w:r>
              <w:t xml:space="preserve">Россети</w:t>
            </w:r>
            <w:r>
              <w:t xml:space="preserve">», решение о присоединении к которому принято Советом директоров ПАО «</w:t>
            </w:r>
            <w:r>
              <w:t xml:space="preserve">Россети</w:t>
            </w:r>
            <w:r>
              <w:t xml:space="preserve"> Московский регион» (выписка из протокола заседания СД от 03.02.2023 №563 (далее - Положение о закупке).</w:t>
            </w:r>
            <w:bookmarkEnd w:id="4"/>
            <w:r/>
            <w:bookmarkEnd w:id="5"/>
            <w:r/>
            <w:bookmarkEnd w:id="6"/>
            <w:r/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Распоряжение о проведении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409-02/27-297р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от 27.02.2025 г.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Способ осуществления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Запрос предложений в электронной форме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Сведения о Заказчике и Организаторе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Заказчик: </w:t>
            </w:r>
            <w:r/>
          </w:p>
          <w:p>
            <w:pPr>
              <w:jc w:val="both"/>
            </w:pPr>
            <w:r>
              <w:t xml:space="preserve">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</w:pPr>
            <w:r>
              <w:t xml:space="preserve">Юридический адрес: 115114, г. Москва, 2-й Павелецкий проезд, д.3, стр.2.</w:t>
            </w:r>
            <w:r/>
          </w:p>
          <w:p>
            <w:pPr>
              <w:jc w:val="both"/>
            </w:pPr>
            <w:r>
              <w:t xml:space="preserve">Место нахождения Заказчика: 115114, г. Москва, 2-й Павелецкий проезд, д.3, стр.2.</w:t>
            </w:r>
            <w:r/>
          </w:p>
          <w:p>
            <w:pPr>
              <w:jc w:val="both"/>
            </w:pPr>
            <w:r>
              <w:t xml:space="preserve">Почтовый адрес: 115114, г. Москва, 2-й Павелецкий проезд, д.3, стр.2.</w:t>
            </w:r>
            <w:r/>
          </w:p>
          <w:p>
            <w:pPr>
              <w:jc w:val="both"/>
            </w:pPr>
            <w:r>
              <w:t xml:space="preserve">Адрес электронной почты: </w:t>
            </w:r>
            <w:hyperlink r:id="rId21" w:tooltip="mailto:client@rossetimr.ru" w:history="1">
              <w:r>
                <w:rPr>
                  <w:rStyle w:val="1243"/>
                  <w:lang w:val="en-US"/>
                </w:rPr>
                <w:t xml:space="preserve">client</w:t>
              </w:r>
              <w:r>
                <w:rPr>
                  <w:rStyle w:val="1243"/>
                </w:rPr>
                <w:t xml:space="preserve">@</w:t>
              </w:r>
              <w:r>
                <w:rPr>
                  <w:rStyle w:val="1243"/>
                  <w:lang w:val="en-US"/>
                </w:rPr>
                <w:t xml:space="preserve">rossetimr</w:t>
              </w:r>
              <w:r>
                <w:rPr>
                  <w:rStyle w:val="1243"/>
                </w:rPr>
                <w:t xml:space="preserve">.</w:t>
              </w:r>
              <w:r>
                <w:rPr>
                  <w:rStyle w:val="1243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</w:pPr>
            <w:r>
              <w:t xml:space="preserve">Телефон:  (495) 662-40-70.</w:t>
            </w:r>
            <w:r/>
          </w:p>
          <w:p>
            <w:pPr>
              <w:jc w:val="both"/>
            </w:pPr>
            <w:r>
              <w:t xml:space="preserve">Организатор: Департамент организации конкурсных процедур 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t xml:space="preserve">2-й Павелецкий проезд, д.3, стр.2.</w:t>
            </w:r>
            <w:r/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</w:pPr>
            <w:r>
              <w:t xml:space="preserve">Контактные лица Организатора: 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iCs/>
              </w:rPr>
              <w:t xml:space="preserve">1) Ответственный специалист:</w:t>
            </w:r>
            <w:r>
              <w:t xml:space="preserve"> </w:t>
            </w:r>
            <w:r/>
          </w:p>
          <w:p>
            <w:pPr>
              <w:jc w:val="both"/>
              <w:widowControl w:val="off"/>
            </w:pPr>
            <w:r>
              <w:t xml:space="preserve">Федотычева</w:t>
            </w:r>
            <w:r>
              <w:t xml:space="preserve"> Влада Сергеевна - Главный специалист Управления организации конкурсных закупок.</w:t>
            </w:r>
            <w:r/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Адрес электронной почты: </w:t>
            </w:r>
            <w:r>
              <w:rPr>
                <w:rStyle w:val="1243"/>
                <w:lang w:val="en-US"/>
              </w:rPr>
              <w:t xml:space="preserve">FedotychevaVS</w:t>
            </w:r>
            <w:r>
              <w:rPr>
                <w:rStyle w:val="1243"/>
              </w:rPr>
              <w:t xml:space="preserve">@</w:t>
            </w:r>
            <w:r>
              <w:rPr>
                <w:rStyle w:val="1243"/>
                <w:lang w:val="en-US"/>
              </w:rPr>
              <w:t xml:space="preserve">rossetimr</w:t>
            </w:r>
            <w:r>
              <w:rPr>
                <w:rStyle w:val="1243"/>
              </w:rPr>
              <w:t xml:space="preserve">.</w:t>
            </w:r>
            <w:r>
              <w:rPr>
                <w:rStyle w:val="1243"/>
                <w:lang w:val="en-US"/>
              </w:rPr>
              <w:t xml:space="preserve">ru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телефон: (495) 6</w:t>
            </w:r>
            <w:r>
              <w:rPr>
                <w:iCs/>
              </w:rPr>
              <w:t xml:space="preserve">62-40-70 (</w:t>
            </w:r>
            <w:r>
              <w:t xml:space="preserve">доб. 47-16</w:t>
            </w:r>
            <w:r>
              <w:rPr>
                <w:iCs/>
              </w:rPr>
              <w:t xml:space="preserve">).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keepNext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jc w:val="both"/>
              <w:keepNext/>
              <w:rPr>
                <w:iCs/>
              </w:rPr>
            </w:pPr>
            <w:r>
              <w:rPr>
                <w:b/>
                <w:iCs/>
              </w:rPr>
              <w:t xml:space="preserve">2) Секретарь комиссии: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Гусев Константин Витальевич – Начальник управления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</w:pPr>
            <w:r>
              <w:rPr>
                <w:iCs/>
              </w:rP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t xml:space="preserve"> </w:t>
            </w:r>
            <w:hyperlink r:id="rId22" w:tooltip="mailto:GusevKV@rossetimr.ru%20" w:history="1">
              <w:r>
                <w:rPr>
                  <w:rStyle w:val="1243"/>
                  <w:lang w:val="en-US"/>
                </w:rPr>
                <w:t xml:space="preserve">GusevKV</w:t>
              </w:r>
              <w:r>
                <w:rPr>
                  <w:rStyle w:val="1243"/>
                </w:rPr>
                <w:t xml:space="preserve">@</w:t>
              </w:r>
              <w:r>
                <w:rPr>
                  <w:rStyle w:val="1243"/>
                  <w:lang w:val="en-US"/>
                </w:rPr>
                <w:t xml:space="preserve">rossetimr</w:t>
              </w:r>
              <w:r>
                <w:rPr>
                  <w:rStyle w:val="1243"/>
                </w:rPr>
                <w:t xml:space="preserve">.</w:t>
              </w:r>
              <w:r>
                <w:rPr>
                  <w:rStyle w:val="1243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  <w:widowControl w:val="off"/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47-44</w:t>
            </w:r>
            <w:r>
              <w:rPr>
                <w:iCs/>
              </w:rPr>
              <w:t xml:space="preserve">).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Электронная торговая площадка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ЭТП Российский Аукционный Дом (</w:t>
            </w:r>
            <w:hyperlink r:id="rId23" w:tooltip="https://tender.lot-online.ru" w:history="1">
              <w:r>
                <w:rPr>
                  <w:rStyle w:val="1243"/>
                  <w:lang w:val="en-US"/>
                </w:rPr>
                <w:t xml:space="preserve">www</w:t>
              </w:r>
              <w:r>
                <w:rPr>
                  <w:rStyle w:val="1243"/>
                </w:rPr>
                <w:t xml:space="preserve">.tender.lot-online.ru</w:t>
              </w:r>
            </w:hyperlink>
            <w:r>
              <w:rPr>
                <w:rStyle w:val="1243"/>
                <w:color w:val="auto"/>
                <w:u w:val="none"/>
              </w:rPr>
              <w:t xml:space="preserve">)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Определение поставщика на поставку оборудования, указанного в п. 8 настоящего Извещения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лотов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 (один)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договора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b/>
                <w:bCs/>
              </w:rPr>
              <w:t xml:space="preserve">Поставка </w:t>
            </w:r>
            <w:r>
              <w:rPr>
                <w:b/>
                <w:bCs/>
                <w:color w:val="000000"/>
              </w:rPr>
              <w:t xml:space="preserve">разъединителей рубящего типа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для н</w:t>
            </w:r>
            <w:r>
              <w:rPr>
                <w:b/>
                <w:bCs/>
              </w:rPr>
              <w:t xml:space="preserve">ужд филиалов </w:t>
            </w:r>
            <w:r>
              <w:rPr>
                <w:b/>
                <w:color w:val="000000"/>
              </w:rPr>
              <w:t xml:space="preserve">ПАО «Россети Московский</w:t>
            </w:r>
            <w:r>
              <w:rPr>
                <w:b/>
                <w:bCs/>
              </w:rPr>
              <w:t xml:space="preserve"> ре</w:t>
            </w:r>
            <w:r>
              <w:rPr>
                <w:b/>
                <w:color w:val="000000"/>
              </w:rPr>
              <w:t xml:space="preserve">гион»</w:t>
            </w:r>
            <w:r>
              <w:rPr>
                <w:b/>
              </w:rPr>
              <w:t xml:space="preserve">.</w:t>
            </w:r>
            <w:r/>
          </w:p>
          <w:p>
            <w:pPr>
              <w:jc w:val="both"/>
              <w:widowControl w:val="off"/>
            </w:pPr>
            <w:r/>
            <w:r/>
          </w:p>
          <w:p>
            <w:pPr>
              <w:jc w:val="both"/>
              <w:widowControl w:val="off"/>
            </w:pPr>
            <w:r>
              <w:t xml:space="preserve">Перечень и количество </w:t>
            </w:r>
            <w:r>
              <w:t xml:space="preserve">поставляемого товара указывается в техническом задании, являющимся приложением № 1 к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 поставки товара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Место поставки товара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8" w:name="_Ref315701315"/>
            <w:r/>
            <w:bookmarkStart w:id="9" w:name="_Toc509318698"/>
            <w:r/>
            <w:bookmarkStart w:id="10" w:name="_Ref55280359"/>
            <w:r/>
            <w:bookmarkStart w:id="11" w:name="_Toc55285360"/>
            <w:r/>
            <w:bookmarkStart w:id="12" w:name="_Toc55305377"/>
            <w:r/>
            <w:bookmarkStart w:id="13" w:name="_Toc57314628"/>
            <w:r/>
            <w:bookmarkStart w:id="14" w:name="_Toc69728953"/>
            <w:r/>
            <w:bookmarkStart w:id="15" w:name="_Ref271881827"/>
            <w:r/>
            <w:bookmarkStart w:id="16" w:name="_Ref315707398"/>
            <w:r/>
            <w:bookmarkStart w:id="17" w:name="_Toc536605204"/>
            <w:r/>
            <w:bookmarkStart w:id="18" w:name="_Toc536624528"/>
            <w:r>
              <w:t xml:space="preserve">Технические требования к </w:t>
            </w:r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/>
            <w:bookmarkEnd w:id="18"/>
            <w:r>
              <w:t xml:space="preserve">поставляемым товарам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НМЦ)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Начальная (максимальная) цена договора составляет </w:t>
            </w:r>
            <w:r>
              <w:br/>
            </w:r>
            <w:r>
              <w:rPr>
                <w:b/>
                <w:bCs/>
              </w:rPr>
              <w:t xml:space="preserve">15 181 920,00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руб. в </w:t>
            </w:r>
            <w:r>
              <w:rPr>
                <w:b/>
                <w:bCs/>
              </w:rPr>
              <w:t xml:space="preserve">т.ч</w:t>
            </w:r>
            <w:r>
              <w:rPr>
                <w:b/>
                <w:bCs/>
              </w:rPr>
              <w:t xml:space="preserve">. НДС 20%</w:t>
            </w:r>
            <w:r>
              <w:t xml:space="preserve"> и включает в себя все расходы участника, связанные с реали</w:t>
            </w:r>
            <w:r>
              <w:t xml:space="preserve">зацией его заявки, в том числе все виды налогов, сборов и иных платежей.</w:t>
            </w:r>
            <w:r/>
          </w:p>
          <w:p>
            <w:pPr>
              <w:jc w:val="both"/>
              <w:widowControl w:val="off"/>
            </w:pPr>
            <w:r>
              <w:t xml:space="preserve"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</w:t>
            </w:r>
            <w:r>
              <w:t xml:space="preserve">опускается.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Форма, сроки и порядок оплаты товара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  <w:p>
            <w:pPr>
              <w:jc w:val="both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widowControl w:val="off"/>
            </w:pPr>
            <w:r>
              <w:rPr>
                <w:b/>
                <w:bCs/>
              </w:rPr>
              <w:t xml:space="preserve">Условия оплаты - по факту поставки в течение                  30 (тридцати) рабочих дней (если иное не предусм</w:t>
            </w:r>
            <w:r>
              <w:rPr>
                <w:b/>
                <w:bCs/>
              </w:rPr>
              <w:t xml:space="preserve">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Срок, место и порядок предоставления</w:t>
            </w:r>
            <w:r/>
          </w:p>
          <w:p>
            <w:pPr>
              <w:widowControl w:val="off"/>
            </w:pPr>
            <w:r>
              <w:t xml:space="preserve">Извещения</w:t>
            </w:r>
            <w:r>
              <w:t xml:space="preserve"> и Документации о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Российский Аукционный Дом (</w:t>
            </w:r>
            <w:hyperlink r:id="rId24" w:tooltip="https://tender.lot-online.ru" w:history="1">
              <w:r>
                <w:rPr>
                  <w:rStyle w:val="1243"/>
                  <w:lang w:val="en-US"/>
                </w:rPr>
                <w:t xml:space="preserve">www</w:t>
              </w:r>
              <w:r>
                <w:rPr>
                  <w:rStyle w:val="1243"/>
                </w:rPr>
                <w:t xml:space="preserve">.tender.lot-online.ru</w:t>
              </w:r>
            </w:hyperlink>
            <w:r>
              <w:rPr>
                <w:rStyle w:val="1243"/>
                <w:color w:val="auto"/>
                <w:u w:val="none"/>
              </w:rPr>
              <w:t xml:space="preserve">)</w:t>
            </w:r>
            <w:r>
              <w:t xml:space="preserve"> </w:t>
            </w:r>
            <w:r>
              <w:br/>
            </w:r>
            <w:r>
              <w:rPr>
                <w:b/>
              </w:rPr>
              <w:t xml:space="preserve">«03» марта 2025 г.</w:t>
            </w:r>
            <w:r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</w:t>
            </w:r>
            <w:r>
              <w:t xml:space="preserve">и регламентами работы данных систем.</w:t>
            </w:r>
            <w:r/>
          </w:p>
          <w:p>
            <w:pPr>
              <w:jc w:val="both"/>
              <w:widowControl w:val="off"/>
            </w:pPr>
            <w:r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</w:t>
            </w:r>
            <w:r>
              <w:t xml:space="preserve"> в Единой информационной системе, размещается на сайте </w:t>
            </w:r>
            <w:hyperlink r:id="rId25" w:tooltip="http://www.rossetimr.ru" w:history="1">
              <w:r>
                <w:rPr>
                  <w:rStyle w:val="1243"/>
                  <w:b/>
                  <w:lang w:val="en-US"/>
                </w:rPr>
                <w:t xml:space="preserve">www</w:t>
              </w:r>
              <w:r>
                <w:rPr>
                  <w:rStyle w:val="1243"/>
                  <w:b/>
                </w:rPr>
                <w:t xml:space="preserve">.</w:t>
              </w:r>
              <w:r>
                <w:rPr>
                  <w:rStyle w:val="1243"/>
                  <w:b/>
                  <w:lang w:val="en-US"/>
                </w:rPr>
                <w:t xml:space="preserve">rossetimr</w:t>
              </w:r>
              <w:r>
                <w:rPr>
                  <w:rStyle w:val="1243"/>
                  <w:b/>
                </w:rPr>
                <w:t xml:space="preserve">.</w:t>
              </w:r>
              <w:r>
                <w:rPr>
                  <w:rStyle w:val="1243"/>
                  <w:b/>
                  <w:lang w:val="en-US"/>
                </w:rPr>
                <w:t xml:space="preserve">ru</w:t>
              </w:r>
            </w:hyperlink>
            <w:r>
              <w:t xml:space="preserve"> в разделе Закупки, с последующим размещением такой информации в Единой информационной системе в течение одного рабо</w:t>
            </w:r>
            <w:r>
              <w:t xml:space="preserve">чего дня со дня устранения технических или</w:t>
            </w:r>
            <w:r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 принятия решения о внесении изменений в Извещение и Документацию о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</w:t>
            </w:r>
            <w:r>
              <w:t xml:space="preserve">я до момента окончания срока подачи заявок на участие в закупке, при этом срок подачи заявок продлевается в соответствии с Единым стандартом закупок ПАО «</w:t>
            </w:r>
            <w:r>
              <w:t xml:space="preserve">Россети</w:t>
            </w:r>
            <w:r>
              <w:t xml:space="preserve">».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сроки подачи и  предоставления разъяснений Извещения и Документации о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19" w:name="_Toc536605206"/>
            <w:r/>
            <w:bookmarkStart w:id="20" w:name="_Toc536624530"/>
            <w:r>
              <w:t xml:space="preserve">Дата начала подачи запросов на разъяснение Извещения и Документации о закупке: </w:t>
            </w:r>
            <w:r>
              <w:rPr>
                <w:b/>
              </w:rPr>
            </w:r>
            <w:r>
              <w:rPr>
                <w:b/>
              </w:rPr>
              <w:t xml:space="preserve">«03» марта</w:t>
            </w:r>
            <w:r/>
            <w:r>
              <w:rPr>
                <w:b/>
              </w:rPr>
              <w:t xml:space="preserve"> 2025 г.</w:t>
            </w:r>
            <w:bookmarkEnd w:id="19"/>
            <w:r/>
            <w:bookmarkEnd w:id="20"/>
            <w:r/>
            <w:r/>
          </w:p>
          <w:p>
            <w:pPr>
              <w:jc w:val="both"/>
              <w:widowControl w:val="off"/>
              <w:rPr>
                <w:b/>
              </w:rPr>
            </w:pPr>
            <w:r/>
            <w:bookmarkStart w:id="21" w:name="_Toc536605207"/>
            <w:r/>
            <w:bookmarkStart w:id="22" w:name="_Toc536624531"/>
            <w:r>
              <w:t xml:space="preserve">Дата окончания подачи запросов на разъяснение Извещения и Документации о закупке: </w:t>
            </w:r>
            <w:r>
              <w:rPr>
                <w:b/>
              </w:rPr>
              <w:t xml:space="preserve">до 23 час. 59 мин. </w:t>
            </w:r>
            <w:r>
              <w:rPr>
                <w:b/>
              </w:rPr>
              <w:br/>
              <w:t xml:space="preserve">«13» марта 2025 г.</w:t>
            </w:r>
            <w:bookmarkEnd w:id="21"/>
            <w:r/>
            <w:bookmarkEnd w:id="22"/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</w:pPr>
            <w:r>
              <w:t xml:space="preserve">Организатор закупки размещает отв</w:t>
            </w:r>
            <w:r>
              <w:t xml:space="preserve">ет на поступивший в установленный срок запрос разъяснений в течение трех рабочих дней </w:t>
            </w:r>
            <w:r>
              <w:t xml:space="preserve">с даты поступления</w:t>
            </w:r>
            <w:r>
              <w:t xml:space="preserve"> такого запроса.</w:t>
            </w:r>
            <w:r/>
          </w:p>
          <w:p>
            <w:pPr>
              <w:jc w:val="both"/>
              <w:widowControl w:val="off"/>
            </w:pPr>
            <w:r/>
            <w:bookmarkStart w:id="23" w:name="_Toc536605208"/>
            <w:r/>
            <w:bookmarkStart w:id="24" w:name="_Toc536624532"/>
            <w:r>
              <w:t xml:space="preserve"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r/>
            <w:bookmarkEnd w:id="24"/>
            <w:r/>
            <w:r/>
          </w:p>
          <w:p>
            <w:pPr>
              <w:jc w:val="both"/>
              <w:widowControl w:val="off"/>
            </w:pPr>
            <w:r/>
            <w:bookmarkStart w:id="25" w:name="_Toc536605209"/>
            <w:r/>
            <w:bookmarkStart w:id="26" w:name="_Toc536624533"/>
            <w:r>
              <w:t xml:space="preserve">Запросы разъяснений на</w:t>
            </w:r>
            <w:r>
              <w:t xml:space="preserve">правляются посредством функционала ЭТП, ответы на поступившие запросы направляются в аналогичном порядке.</w:t>
            </w:r>
            <w:bookmarkEnd w:id="25"/>
            <w:r/>
            <w:bookmarkEnd w:id="26"/>
            <w:r/>
            <w:r/>
          </w:p>
          <w:p>
            <w:pPr>
              <w:jc w:val="both"/>
              <w:widowControl w:val="off"/>
            </w:pPr>
            <w:r/>
            <w:bookmarkStart w:id="27" w:name="_Toc536605210"/>
            <w:r/>
            <w:bookmarkStart w:id="28" w:name="_Toc536624534"/>
            <w:r>
              <w:t xml:space="preserve">Запросы разъяснений, направленные иным способом, не рассматриваются и ответы на них не предоставляются.</w:t>
            </w:r>
            <w:bookmarkEnd w:id="27"/>
            <w:r/>
            <w:bookmarkEnd w:id="28"/>
            <w:r/>
            <w:r/>
          </w:p>
          <w:p>
            <w:pPr>
              <w:jc w:val="both"/>
              <w:widowControl w:val="off"/>
            </w:pPr>
            <w:r>
              <w:t xml:space="preserve">Более подробно порядок предоставления разъяснений указан в п. 2.4.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29" w:name="_Toc536624535"/>
            <w:r>
              <w:t xml:space="preserve">Отмена закупки</w:t>
            </w:r>
            <w:bookmarkEnd w:id="29"/>
            <w:r/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наступления даты и времени окончания срока подачи заявок на участие в Запросе предложений, либо по истечении даты и времени оконч</w:t>
            </w:r>
            <w:r>
              <w:t xml:space="preserve">ания срока 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0" w:name="_Toc536605212"/>
            <w:r/>
            <w:bookmarkStart w:id="31" w:name="_Toc536624536"/>
            <w:r>
              <w:t xml:space="preserve">Порядок и срок отзыва заявок  на участие, порядок внесения изменений в поданную заявку</w:t>
            </w:r>
            <w:bookmarkEnd w:id="30"/>
            <w:r/>
            <w:bookmarkEnd w:id="31"/>
            <w:r/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Изменение и отзыв</w:t>
            </w:r>
            <w:r>
              <w:t xml:space="preserve"> заявки на участие возможен до истечения окончания  срока подачи заявок, установленного настоящим Извещением.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дата начала, дата и время окончания срока подачи заявок на участие в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Дата начала подачи заявок – с момента размещения Извещен</w:t>
            </w:r>
            <w:r>
              <w:t xml:space="preserve">ия и Документации о закупке в ЕИС и на ЭТП </w:t>
            </w:r>
            <w:r>
              <w:br/>
            </w:r>
            <w:r>
              <w:rPr>
                <w:b/>
              </w:rPr>
            </w:r>
            <w:r>
              <w:rPr>
                <w:b/>
              </w:rPr>
              <w:t xml:space="preserve">«03» марта</w:t>
            </w:r>
            <w:r/>
            <w:r>
              <w:rPr>
                <w:b/>
              </w:rPr>
              <w:t xml:space="preserve"> 2025 г.</w:t>
            </w:r>
            <w:r/>
          </w:p>
          <w:p>
            <w:pPr>
              <w:jc w:val="both"/>
              <w:widowControl w:val="off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10:00 по московскому времени «19» марта 2025 г</w:t>
            </w:r>
            <w:r>
              <w:rPr>
                <w:rFonts w:eastAsia="MS Mincho"/>
                <w:b/>
              </w:rPr>
              <w:t xml:space="preserve"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ЭТП Российский Аукционный Дом (</w:t>
            </w:r>
            <w:hyperlink r:id="rId26" w:tooltip="https://tender.lot-online.ru" w:history="1">
              <w:r>
                <w:rPr>
                  <w:rStyle w:val="1243"/>
                  <w:lang w:val="en-US"/>
                </w:rPr>
                <w:t xml:space="preserve">www</w:t>
              </w:r>
              <w:r>
                <w:rPr>
                  <w:rStyle w:val="1243"/>
                </w:rPr>
                <w:t xml:space="preserve">.tender.lot-online.ru</w:t>
              </w:r>
            </w:hyperlink>
            <w:r>
              <w:rPr>
                <w:rStyle w:val="1243"/>
                <w:color w:val="auto"/>
                <w:u w:val="none"/>
              </w:rPr>
              <w:t xml:space="preserve">).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Дата и время вскрытия заявок, поступивших на участие в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10:00 по московскому времени</w:t>
            </w:r>
            <w:r>
              <w:t xml:space="preserve"> </w:t>
            </w:r>
            <w:r>
              <w:br/>
            </w:r>
            <w:r>
              <w:rPr>
                <w:b/>
              </w:rPr>
              <w:t xml:space="preserve">«</w:t>
            </w:r>
            <w:r>
              <w:rPr>
                <w:b/>
              </w:rPr>
              <w:t xml:space="preserve">19» марта 2025 г</w:t>
            </w:r>
            <w:r>
              <w:rPr>
                <w:rFonts w:eastAsia="MS Mincho"/>
                <w:b/>
              </w:rPr>
              <w:t xml:space="preserve"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t xml:space="preserve">ЭТП Российский Аукционный Дом (</w:t>
            </w:r>
            <w:hyperlink r:id="rId27" w:tooltip="https://tender.lot-online.ru" w:history="1">
              <w:r>
                <w:rPr>
                  <w:rStyle w:val="1243"/>
                  <w:lang w:val="en-US"/>
                </w:rPr>
                <w:t xml:space="preserve">www</w:t>
              </w:r>
              <w:r>
                <w:rPr>
                  <w:rStyle w:val="1243"/>
                </w:rPr>
                <w:t xml:space="preserve">.tender.lot-online.ru</w:t>
              </w:r>
            </w:hyperlink>
            <w:r>
              <w:rPr>
                <w:rStyle w:val="1243"/>
                <w:color w:val="auto"/>
                <w:u w:val="none"/>
              </w:rPr>
              <w:t xml:space="preserve">)</w:t>
            </w:r>
            <w:r>
              <w:rPr>
                <w:color w:val="000000" w:themeColor="text1"/>
              </w:rPr>
              <w:t xml:space="preserve">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Возможность проведения процедуры переторжки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Предусмотрена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Шаг переторжки составляет </w:t>
            </w:r>
            <w:r>
              <w:rPr>
                <w:b/>
                <w:color w:val="000000" w:themeColor="text1"/>
              </w:rPr>
              <w:t xml:space="preserve">0,1</w:t>
            </w:r>
            <w:r>
              <w:rPr>
                <w:b/>
                <w:color w:val="000000" w:themeColor="text1"/>
              </w:rPr>
              <w:t xml:space="preserve">6 %</w:t>
            </w:r>
            <w:r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>
              <w:rPr>
                <w:b/>
                <w:bCs/>
                <w:color w:val="000000" w:themeColor="text1"/>
              </w:rPr>
              <w:br/>
            </w: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  <w:t xml:space="preserve">4 291,07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Порядок проведения процедуры переторжки указан в п. 2.12. Документации о закупке.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b/>
              </w:rPr>
            </w:pPr>
            <w:r>
              <w:t xml:space="preserve"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</w:t>
            </w:r>
            <w:r>
              <w:t xml:space="preserve">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и сроки проведения этапов закупки, а также подведение итогов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1) Рассмотрение и оценка заявок осуществляется: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</w:rPr>
              <w:t xml:space="preserve">«04</w:t>
            </w:r>
            <w:r>
              <w:rPr>
                <w:b/>
              </w:rPr>
              <w:t xml:space="preserve">» апреля</w:t>
            </w:r>
            <w:r>
              <w:rPr>
                <w:b/>
              </w:rPr>
              <w:t xml:space="preserve"> 2025 г. по московскому времени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2) Сопоставление заявок участников и подведение итогов состоится: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«11</w:t>
            </w:r>
            <w:r>
              <w:rPr>
                <w:b/>
              </w:rPr>
              <w:t xml:space="preserve">» апреля</w:t>
            </w:r>
            <w:r>
              <w:rPr>
                <w:b/>
              </w:rPr>
              <w:t xml:space="preserve"> 2025 г. по московскому времени.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Права и обязанности Организатора закупки и ее Участников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Требования, предъявляемые к </w:t>
            </w:r>
            <w:r>
              <w:t xml:space="preserve">Участникам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рассмотрения заявок, подведения итогов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Сведения о предоставлении преференций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Порядок предоставления преференций указан в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заявки на участие в закупке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</w:rPr>
              <w:t xml:space="preserve">Требуется.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both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both"/>
              <w:widowControl w:val="off"/>
              <w:rPr>
                <w14:ligatures w14:val="none"/>
              </w:rPr>
            </w:pPr>
            <w: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  к обеспечению заявки указаны в </w:t>
            </w:r>
            <w:r>
              <w:t xml:space="preserve">Приложении № 3 «Обеспечение участия в закупке» к</w:t>
            </w:r>
            <w:r>
              <w:t xml:space="preserve"> Документации о закупке.</w:t>
            </w:r>
            <w:r>
              <w:rPr>
                <w14:ligatures w14:val="none"/>
              </w:rPr>
            </w:r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исполнения договора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Случаи предоставления обеспечения по договору указаны в </w:t>
            </w:r>
            <w:r>
              <w:rPr>
                <w:color w:val="000000" w:themeColor="text1"/>
              </w:rPr>
              <w:t xml:space="preserve">Приложении № 5 «Условия выбора финансового обеспечения» к</w:t>
            </w:r>
            <w:r>
              <w:t xml:space="preserve"> Документации о закупке.</w:t>
            </w:r>
            <w:r/>
          </w:p>
          <w:p>
            <w:pPr>
              <w:jc w:val="both"/>
              <w:widowControl w:val="off"/>
            </w:pPr>
            <w:r>
              <w:t xml:space="preserve">Порядок предоставления, с</w:t>
            </w:r>
            <w:r>
              <w:t xml:space="preserve">роки и иные условия обеспечения исполнения обязательств по договору являются приложением к договору (</w:t>
            </w:r>
            <w:r>
              <w:rPr>
                <w:color w:val="000000" w:themeColor="text1"/>
              </w:rPr>
              <w:t xml:space="preserve">Приложение № 2 «Проект договора» к Документации)</w:t>
            </w:r>
            <w:r>
              <w:t xml:space="preserve">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Антидемпинговые меры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Предусмотрены.</w:t>
            </w:r>
            <w:r/>
          </w:p>
          <w:p>
            <w:pPr>
              <w:jc w:val="both"/>
              <w:widowControl w:val="off"/>
            </w:pPr>
            <w:r>
              <w:t xml:space="preserve">Порядок указан в п. 2.13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Подача альтернативных заявок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Не предусмотрена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2" w:name="_Toc536605213"/>
            <w:r/>
            <w:bookmarkStart w:id="33" w:name="_Toc536624537"/>
            <w:r>
              <w:t xml:space="preserve">Требования к содержанию, форме, оформлению и составу заявки на участие в закупке</w:t>
            </w:r>
            <w:bookmarkEnd w:id="32"/>
            <w:r/>
            <w:bookmarkEnd w:id="33"/>
            <w:r/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договоров по результатам закупки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По результатам закупки будет заключен 1 дог</w:t>
            </w:r>
            <w:r>
              <w:t xml:space="preserve">овор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4" w:name="_Toc536605214"/>
            <w:r/>
            <w:bookmarkStart w:id="35" w:name="_Toc536624538"/>
            <w:r>
              <w:t xml:space="preserve">Заключение договора по результатам закупки</w:t>
            </w:r>
            <w:bookmarkEnd w:id="34"/>
            <w:r/>
            <w:bookmarkEnd w:id="35"/>
            <w:r/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</w:t>
            </w:r>
            <w:r>
              <w:t xml:space="preserve">рмационной системе.</w:t>
            </w:r>
            <w:r/>
          </w:p>
          <w:p>
            <w:pPr>
              <w:jc w:val="both"/>
              <w:widowControl w:val="off"/>
            </w:pPr>
            <w:r>
              <w:t xml:space="preserve">В случае необходимости одобрения органом управления заказчика в соотве</w:t>
            </w:r>
            <w:r>
              <w:t xml:space="preserve">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</w:t>
            </w:r>
            <w:r>
              <w:t xml:space="preserve">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r>
              <w:t xml:space="preserve">, комиссии по осуществлению конкурентной закупки, оператора электронной площадки.</w:t>
            </w:r>
            <w:r/>
          </w:p>
        </w:tc>
      </w:tr>
      <w:tr>
        <w:trPr/>
        <w:tc>
          <w:tcPr>
            <w:tcW w:w="3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06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Иные сведения</w:t>
            </w:r>
            <w:r/>
          </w:p>
        </w:tc>
        <w:tc>
          <w:tcPr>
            <w:tcW w:w="3283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bookmarkEnd w:id="0"/>
            <w:r/>
            <w:r/>
          </w:p>
        </w:tc>
      </w:tr>
    </w:tbl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12"/>
      <w:headerReference w:type="even" r:id="rId13"/>
      <w:headerReference w:type="first" r:id="rId14"/>
      <w:footerReference w:type="default" r:id="rId18"/>
      <w:footerReference w:type="even" r:id="rId19"/>
      <w:footnotePr/>
      <w:endnotePr/>
      <w:type w:val="nextPage"/>
      <w:pgSz w:w="11906" w:h="16838" w:orient="portrait"/>
      <w:pgMar w:top="284" w:right="924" w:bottom="0" w:left="1134" w:header="284" w:footer="79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Tahoma">
    <w:panose1 w:val="020B0606040504020204"/>
  </w:font>
  <w:font w:name="MS Mincho">
    <w:panose1 w:val="0202060606050509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3"/>
      <w:rPr>
        <w:rStyle w:val="1232"/>
      </w:rPr>
      <w:framePr w:wrap="around" w:vAnchor="text" w:hAnchor="margin" w:xAlign="right" w:y="1"/>
    </w:pPr>
    <w:r>
      <w:rPr>
        <w:rStyle w:val="1232"/>
      </w:rPr>
      <w:fldChar w:fldCharType="begin"/>
    </w:r>
    <w:r>
      <w:rPr>
        <w:rStyle w:val="1232"/>
      </w:rPr>
      <w:instrText xml:space="preserve">PAGE  </w:instrText>
    </w:r>
    <w:r>
      <w:rPr>
        <w:rStyle w:val="1232"/>
      </w:rPr>
      <w:fldChar w:fldCharType="separate"/>
    </w:r>
    <w:r>
      <w:rPr>
        <w:rStyle w:val="1232"/>
      </w:rPr>
      <w:t xml:space="preserve">1</w:t>
    </w:r>
    <w:r>
      <w:rPr>
        <w:rStyle w:val="1232"/>
      </w:rPr>
      <w:fldChar w:fldCharType="end"/>
    </w:r>
    <w:r>
      <w:rPr>
        <w:rStyle w:val="1232"/>
      </w:rPr>
    </w:r>
    <w:r>
      <w:rPr>
        <w:rStyle w:val="1232"/>
      </w:rPr>
    </w:r>
  </w:p>
  <w:p>
    <w:pPr>
      <w:pStyle w:val="123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0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0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4"/>
      <w:ind w:right="17"/>
      <w:jc w:val="right"/>
      <w:keepNext/>
      <w:spacing w:after="0"/>
      <w:tabs>
        <w:tab w:val="left" w:pos="5670" w:leader="none"/>
      </w:tabs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column">
                <wp:posOffset>-903605</wp:posOffset>
              </wp:positionH>
              <wp:positionV relativeFrom="paragraph">
                <wp:posOffset>-457200</wp:posOffset>
              </wp:positionV>
              <wp:extent cx="7600315" cy="1226820"/>
              <wp:effectExtent l="0" t="0" r="635" b="0"/>
              <wp:wrapTight wrapText="bothSides">
                <wp:wrapPolygon edited="1">
                  <wp:start x="0" y="0"/>
                  <wp:lineTo x="0" y="21130"/>
                  <wp:lineTo x="21548" y="21130"/>
                  <wp:lineTo x="21548" y="0"/>
                  <wp:lineTo x="0" y="0"/>
                </wp:wrapPolygon>
              </wp:wrapTight>
              <wp:docPr id="1" name="Рисунок 1" descr="Бланк протокола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Бланк протокола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0" r="0" b="32353"/>
                      <a:stretch/>
                    </pic:blipFill>
                    <pic:spPr bwMode="auto">
                      <a:xfrm>
                        <a:off x="0" y="0"/>
                        <a:ext cx="7600315" cy="122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60288;o:allowoverlap:true;o:allowincell:true;mso-position-horizontal-relative:text;margin-left:-71.15pt;mso-position-horizontal:absolute;mso-position-vertical-relative:text;margin-top:-36.00pt;mso-position-vertical:absolute;width:598.45pt;height:96.60pt;mso-wrap-distance-left:9.00pt;mso-wrap-distance-top:0.00pt;mso-wrap-distance-right:9.00pt;mso-wrap-distance-bottom:0.00pt;" wrapcoords="0 0 0 97824 99759 97824 99759 0 0 0" stroked="f">
              <v:path textboxrect="0,0,0,0"/>
              <w10:wrap type="tight"/>
              <v:imagedata r:id="rId1" o:title=""/>
            </v:shape>
          </w:pict>
        </mc:Fallback>
      </mc:AlternateContent>
    </w:r>
    <w:r/>
  </w:p>
  <w:p>
    <w:pPr>
      <w:pStyle w:val="1244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244"/>
      <w:ind w:right="17"/>
      <w:keepNext/>
      <w:spacing w:after="0"/>
      <w:tabs>
        <w:tab w:val="left" w:pos="5412" w:leader="none"/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244"/>
      <w:jc w:val="right"/>
      <w:keepLines/>
      <w:keepNext/>
      <w:spacing w:after="0"/>
      <w:tabs>
        <w:tab w:val="left" w:pos="5670" w:leader="none"/>
      </w:tabs>
    </w:pPr>
    <w:r/>
    <w:r/>
  </w:p>
  <w:p>
    <w:pPr>
      <w:pStyle w:val="1244"/>
      <w:jc w:val="right"/>
      <w:keepNext/>
      <w:spacing w:after="0"/>
      <w:tabs>
        <w:tab w:val="left" w:pos="5670" w:leader="none"/>
      </w:tabs>
    </w:pPr>
    <w:r>
      <w:t xml:space="preserve">Утверждено на заседании</w:t>
    </w:r>
    <w:r/>
  </w:p>
  <w:p>
    <w:pPr>
      <w:pStyle w:val="1244"/>
      <w:jc w:val="right"/>
      <w:keepNext/>
      <w:spacing w:after="0"/>
      <w:tabs>
        <w:tab w:val="left" w:pos="5670" w:leader="none"/>
      </w:tabs>
    </w:pPr>
    <w:r>
      <w:t xml:space="preserve"> Постоянно действующей конкурсной</w:t>
    </w:r>
    <w:r/>
  </w:p>
  <w:p>
    <w:pPr>
      <w:pStyle w:val="1244"/>
      <w:jc w:val="right"/>
      <w:keepNext/>
      <w:spacing w:after="0"/>
      <w:tabs>
        <w:tab w:val="left" w:pos="5670" w:leader="none"/>
      </w:tabs>
    </w:pPr>
    <w:r>
      <w:t xml:space="preserve">комиссии ПАО «</w:t>
    </w:r>
    <w:r>
      <w:t xml:space="preserve">Россети</w:t>
    </w:r>
    <w:r>
      <w:t xml:space="preserve"> Московский регион»</w:t>
    </w:r>
    <w:r/>
  </w:p>
  <w:p>
    <w:pPr>
      <w:pStyle w:val="1244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t xml:space="preserve">(далее – Комиссия)</w:t>
    </w:r>
    <w:r>
      <w:rPr>
        <w:highlight w:val="lightGray"/>
      </w:rPr>
      <w:t xml:space="preserve"> </w:t>
    </w:r>
    <w:r>
      <w:rPr>
        <w:highlight w:val="lightGray"/>
      </w:rPr>
    </w:r>
    <w:r>
      <w:rPr>
        <w:highlight w:val="lightGray"/>
      </w:rPr>
    </w:r>
  </w:p>
  <w:p>
    <w:pPr>
      <w:pStyle w:val="1244"/>
      <w:ind w:right="17"/>
      <w:jc w:val="right"/>
      <w:keepNext/>
      <w:spacing w:after="0"/>
      <w:tabs>
        <w:tab w:val="left" w:pos="5670" w:leader="none"/>
      </w:tabs>
      <w:rPr>
        <w:b/>
      </w:rPr>
    </w:pPr>
    <w:r>
      <w:rPr>
        <w:b/>
      </w:rPr>
    </w:r>
    <w:r>
      <w:rPr>
        <w:b/>
      </w:rPr>
    </w:r>
    <w:r>
      <w:rPr>
        <w:b/>
      </w:rPr>
    </w:r>
  </w:p>
  <w:p>
    <w:pPr>
      <w:pStyle w:val="1244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rPr>
        <w:b/>
      </w:rPr>
      <w:t xml:space="preserve">Протокол № РМР/620 от «27» февраля 2025 г.</w:t>
    </w:r>
    <w:r>
      <w:rPr>
        <w:highlight w:val="lightGray"/>
      </w:rPr>
      <w:t xml:space="preserve"> </w:t>
    </w:r>
    <w:r>
      <w:rPr>
        <w:highlight w:val="lightGray"/>
      </w:rPr>
    </w:r>
    <w:r>
      <w:rPr>
        <w:highlight w:val="lightGray"/>
      </w:rPr>
    </w:r>
  </w:p>
  <w:p>
    <w:pPr>
      <w:pStyle w:val="1244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244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t xml:space="preserve">Секретарь Комиссии:</w:t>
    </w:r>
    <w:r>
      <w:rPr>
        <w:highlight w:val="lightGray"/>
      </w:rPr>
    </w:r>
    <w:r>
      <w:rPr>
        <w:highlight w:val="lightGray"/>
      </w:rPr>
    </w:r>
  </w:p>
  <w:p>
    <w:pPr>
      <w:jc w:val="right"/>
      <w:keepNext/>
      <w:tabs>
        <w:tab w:val="left" w:pos="5670" w:leader="none"/>
      </w:tabs>
    </w:pPr>
    <w:r/>
    <w:r/>
  </w:p>
  <w:p>
    <w:pPr>
      <w:jc w:val="right"/>
      <w:keepNext/>
      <w:tabs>
        <w:tab w:val="left" w:pos="5670" w:leader="none"/>
      </w:tabs>
      <w:rPr>
        <w:b/>
        <w:bCs/>
      </w:rPr>
    </w:pPr>
    <w:r>
      <w:t xml:space="preserve">______________   Гусев К.В.</w:t>
    </w:r>
    <w:r>
      <w:rPr>
        <w:b/>
        <w:bCs/>
      </w:rPr>
    </w:r>
    <w:r>
      <w:rPr>
        <w:b/>
        <w:bCs/>
      </w:rPr>
    </w:r>
  </w:p>
  <w:p>
    <w:pPr>
      <w:pStyle w:val="1244"/>
      <w:ind w:right="17"/>
      <w:jc w:val="right"/>
      <w:keepNext/>
      <w:spacing w:after="0"/>
      <w:tabs>
        <w:tab w:val="left" w:pos="5670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0"/>
      <w:jc w:val="center"/>
      <w:rPr>
        <w:rStyle w:val="1232"/>
      </w:rPr>
      <w:framePr w:wrap="around" w:vAnchor="text" w:hAnchor="margin" w:xAlign="center" w:y="1"/>
    </w:pPr>
    <w:r>
      <w:rPr>
        <w:rStyle w:val="1232"/>
      </w:rPr>
      <w:fldChar w:fldCharType="begin"/>
    </w:r>
    <w:r>
      <w:rPr>
        <w:rStyle w:val="1232"/>
      </w:rPr>
      <w:instrText xml:space="preserve">PAGE  </w:instrText>
    </w:r>
    <w:r>
      <w:rPr>
        <w:rStyle w:val="1232"/>
      </w:rPr>
      <w:fldChar w:fldCharType="separate"/>
    </w:r>
    <w:r>
      <w:rPr>
        <w:rStyle w:val="1232"/>
      </w:rPr>
      <w:t xml:space="preserve">3</w:t>
    </w:r>
    <w:r>
      <w:rPr>
        <w:rStyle w:val="1232"/>
      </w:rPr>
      <w:fldChar w:fldCharType="end"/>
    </w:r>
    <w:r>
      <w:rPr>
        <w:rStyle w:val="1232"/>
      </w:rPr>
    </w:r>
    <w:r>
      <w:rPr>
        <w:rStyle w:val="1232"/>
      </w:rPr>
    </w:r>
  </w:p>
  <w:p>
    <w:pPr>
      <w:pStyle w:val="1230"/>
      <w:rPr>
        <w:rStyle w:val="1232"/>
      </w:rPr>
      <w:framePr w:wrap="around" w:vAnchor="text" w:hAnchor="margin" w:xAlign="center" w:y="1"/>
    </w:pPr>
    <w:r>
      <w:rPr>
        <w:rStyle w:val="1232"/>
      </w:rPr>
    </w:r>
    <w:r>
      <w:rPr>
        <w:rStyle w:val="1232"/>
      </w:rPr>
    </w:r>
    <w:r>
      <w:rPr>
        <w:rStyle w:val="1232"/>
      </w:rPr>
    </w:r>
  </w:p>
  <w:p>
    <w:pPr>
      <w:pStyle w:val="1230"/>
      <w:jc w:val="center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0"/>
      <w:rPr>
        <w:rStyle w:val="1232"/>
      </w:rPr>
      <w:framePr w:wrap="around" w:vAnchor="text" w:hAnchor="margin" w:xAlign="center" w:y="1"/>
    </w:pPr>
    <w:r>
      <w:rPr>
        <w:rStyle w:val="1232"/>
      </w:rPr>
      <w:fldChar w:fldCharType="begin"/>
    </w:r>
    <w:r>
      <w:rPr>
        <w:rStyle w:val="1232"/>
      </w:rPr>
      <w:instrText xml:space="preserve">PAGE  </w:instrText>
    </w:r>
    <w:r>
      <w:rPr>
        <w:rStyle w:val="1232"/>
      </w:rPr>
      <w:fldChar w:fldCharType="separate"/>
    </w:r>
    <w:r>
      <w:rPr>
        <w:rStyle w:val="1232"/>
      </w:rPr>
      <w:t xml:space="preserve">1</w:t>
    </w:r>
    <w:r>
      <w:rPr>
        <w:rStyle w:val="1232"/>
      </w:rPr>
      <w:fldChar w:fldCharType="end"/>
    </w:r>
    <w:r>
      <w:rPr>
        <w:rStyle w:val="1232"/>
      </w:rPr>
    </w:r>
    <w:r>
      <w:rPr>
        <w:rStyle w:val="123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4"/>
      <w:ind w:right="17"/>
      <w:jc w:val="right"/>
      <w:keepNext/>
      <w:spacing w:after="0"/>
      <w:tabs>
        <w:tab w:val="left" w:pos="5670" w:leader="none"/>
      </w:tabs>
      <w:rPr>
        <w:b/>
        <w:bCs/>
      </w:rPr>
    </w:pPr>
    <w:r>
      <w:rPr>
        <w:color w:val="44546a"/>
        <w:sz w:val="18"/>
        <w:szCs w:val="18"/>
      </w:rPr>
      <w:tab/>
    </w:r>
    <w:r>
      <w:rPr>
        <w:b/>
        <w:bCs/>
      </w:rPr>
    </w:r>
    <w:r>
      <w:rPr>
        <w:b/>
        <w:bCs/>
      </w:rPr>
    </w:r>
  </w:p>
  <w:p>
    <w:pPr>
      <w:ind w:right="-283"/>
      <w:tabs>
        <w:tab w:val="left" w:pos="1908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1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72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73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74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75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76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1269"/>
      <w:isLgl w:val="false"/>
      <w:suff w:val="tab"/>
      <w:lvlText w:val="%1."/>
      <w:lvlJc w:val="left"/>
      <w:pPr>
        <w:ind w:left="3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4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hint="default"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3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0">
    <w:multiLevelType w:val="hybridMultilevel"/>
    <w:styleLink w:val="1270"/>
    <w:lvl w:ilvl="0">
      <w:start w:val="1"/>
      <w:numFmt w:val="bullet"/>
      <w:pStyle w:val="1270"/>
      <w:isLgl w:val="false"/>
      <w:suff w:val="tab"/>
      <w:lvlText w:val="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2.%3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1282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isLgl w:val="false"/>
      <w:suff w:val="tab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pStyle w:val="126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pStyle w:val="1261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isLgl w:val="false"/>
      <w:suff w:val="tab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30">
    <w:multiLevelType w:val="hybridMultilevel"/>
    <w:lvl w:ilvl="0">
      <w:start w:val="1"/>
      <w:numFmt w:val="decimal"/>
      <w:pStyle w:val="1278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80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79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81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firstLine="0"/>
        <w:tabs>
          <w:tab w:val="num" w:pos="5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3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2.4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7"/>
  </w:num>
  <w:num w:numId="5">
    <w:abstractNumId w:val="16"/>
  </w:num>
  <w:num w:numId="6">
    <w:abstractNumId w:val="13"/>
  </w:num>
  <w:num w:numId="7">
    <w:abstractNumId w:val="25"/>
  </w:num>
  <w:num w:numId="8">
    <w:abstractNumId w:val="44"/>
  </w:num>
  <w:num w:numId="9">
    <w:abstractNumId w:val="15"/>
  </w:num>
  <w:num w:numId="10">
    <w:abstractNumId w:val="10"/>
  </w:num>
  <w:num w:numId="11">
    <w:abstractNumId w:val="8"/>
  </w:num>
  <w:num w:numId="12">
    <w:abstractNumId w:val="39"/>
  </w:num>
  <w:num w:numId="13">
    <w:abstractNumId w:val="24"/>
  </w:num>
  <w:num w:numId="14">
    <w:abstractNumId w:val="23"/>
  </w:num>
  <w:num w:numId="15">
    <w:abstractNumId w:val="18"/>
  </w:num>
  <w:num w:numId="16">
    <w:abstractNumId w:val="14"/>
  </w:num>
  <w:num w:numId="17">
    <w:abstractNumId w:val="27"/>
  </w:num>
  <w:num w:numId="18">
    <w:abstractNumId w:val="34"/>
  </w:num>
  <w:num w:numId="19">
    <w:abstractNumId w:val="0"/>
  </w:num>
  <w:num w:numId="20">
    <w:abstractNumId w:val="42"/>
  </w:num>
  <w:num w:numId="21">
    <w:abstractNumId w:val="37"/>
  </w:num>
  <w:num w:numId="22">
    <w:abstractNumId w:val="4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22"/>
  </w:num>
  <w:num w:numId="26">
    <w:abstractNumId w:val="30"/>
  </w:num>
  <w:num w:numId="27">
    <w:abstractNumId w:val="32"/>
  </w:num>
  <w:num w:numId="28">
    <w:abstractNumId w:val="11"/>
  </w:num>
  <w:num w:numId="29">
    <w:abstractNumId w:val="12"/>
  </w:num>
  <w:num w:numId="30">
    <w:abstractNumId w:val="26"/>
  </w:num>
  <w:num w:numId="31">
    <w:abstractNumId w:val="19"/>
  </w:num>
  <w:num w:numId="32">
    <w:abstractNumId w:val="4"/>
  </w:num>
  <w:num w:numId="33">
    <w:abstractNumId w:val="31"/>
  </w:num>
  <w:num w:numId="34">
    <w:abstractNumId w:val="38"/>
  </w:num>
  <w:num w:numId="35">
    <w:abstractNumId w:val="20"/>
  </w:num>
  <w:num w:numId="36">
    <w:abstractNumId w:val="13"/>
  </w:num>
  <w:num w:numId="37">
    <w:abstractNumId w:val="5"/>
  </w:num>
  <w:num w:numId="38">
    <w:abstractNumId w:val="17"/>
  </w:num>
  <w:num w:numId="39">
    <w:abstractNumId w:val="6"/>
  </w:num>
  <w:num w:numId="40">
    <w:abstractNumId w:val="43"/>
  </w:num>
  <w:num w:numId="41">
    <w:abstractNumId w:val="29"/>
  </w:num>
  <w:num w:numId="42">
    <w:abstractNumId w:val="21"/>
  </w:num>
  <w:num w:numId="43">
    <w:abstractNumId w:val="33"/>
  </w:num>
  <w:num w:numId="44">
    <w:abstractNumId w:val="30"/>
  </w:num>
  <w:num w:numId="45">
    <w:abstractNumId w:val="35"/>
  </w:num>
  <w:num w:numId="46">
    <w:abstractNumId w:val="36"/>
  </w:num>
  <w:num w:numId="47">
    <w:abstractNumId w:val="28"/>
  </w:num>
  <w:num w:numId="48">
    <w:abstractNumId w:val="45"/>
  </w:num>
  <w:num w:numId="49">
    <w:abstractNumId w:val="46"/>
  </w:num>
  <w:num w:numId="50">
    <w:abstractNumId w:val="47"/>
  </w:num>
  <w:num w:numId="51">
    <w:abstractNumId w:val="48"/>
  </w:num>
  <w:num w:numId="52">
    <w:abstractNumId w:val="49"/>
  </w:num>
  <w:num w:numId="53">
    <w:abstractNumId w:val="50"/>
  </w:num>
  <w:num w:numId="54">
    <w:abstractNumId w:val="51"/>
  </w:num>
  <w:num w:numId="55">
    <w:abstractNumId w:val="52"/>
  </w:num>
  <w:num w:numId="56">
    <w:abstractNumId w:val="53"/>
  </w:num>
  <w:num w:numId="57">
    <w:abstractNumId w:val="54"/>
  </w:num>
  <w:num w:numId="58">
    <w:abstractNumId w:val="55"/>
  </w:num>
  <w:num w:numId="59">
    <w:abstractNumId w:val="56"/>
  </w:num>
  <w:num w:numId="60">
    <w:abstractNumId w:val="57"/>
  </w:num>
  <w:num w:numId="61">
    <w:abstractNumId w:val="58"/>
  </w:num>
  <w:num w:numId="62">
    <w:abstractNumId w:val="59"/>
  </w:num>
  <w:num w:numId="63">
    <w:abstractNumId w:val="60"/>
  </w:num>
  <w:num w:numId="64">
    <w:abstractNumId w:val="61"/>
  </w:num>
  <w:num w:numId="65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41">
    <w:name w:val="Subtitle Char"/>
    <w:basedOn w:val="1055"/>
    <w:link w:val="1069"/>
    <w:uiPriority w:val="11"/>
    <w:rPr>
      <w:sz w:val="24"/>
      <w:szCs w:val="24"/>
    </w:rPr>
  </w:style>
  <w:style w:type="character" w:styleId="1042">
    <w:name w:val="Quote Char"/>
    <w:link w:val="1071"/>
    <w:uiPriority w:val="29"/>
    <w:rPr>
      <w:i/>
    </w:rPr>
  </w:style>
  <w:style w:type="character" w:styleId="1043">
    <w:name w:val="Intense Quote Char"/>
    <w:link w:val="1073"/>
    <w:uiPriority w:val="30"/>
    <w:rPr>
      <w:i/>
    </w:rPr>
  </w:style>
  <w:style w:type="character" w:styleId="1044">
    <w:name w:val="Endnote Text Char"/>
    <w:link w:val="1206"/>
    <w:uiPriority w:val="99"/>
    <w:rPr>
      <w:sz w:val="20"/>
    </w:rPr>
  </w:style>
  <w:style w:type="paragraph" w:styleId="1045" w:default="1">
    <w:name w:val="Normal"/>
    <w:qFormat/>
    <w:rPr>
      <w:sz w:val="24"/>
      <w:szCs w:val="24"/>
    </w:rPr>
  </w:style>
  <w:style w:type="paragraph" w:styleId="1046">
    <w:name w:val="Heading 1"/>
    <w:basedOn w:val="1045"/>
    <w:next w:val="1045"/>
    <w:link w:val="1216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47">
    <w:name w:val="Heading 2"/>
    <w:basedOn w:val="1045"/>
    <w:next w:val="1045"/>
    <w:link w:val="1217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1048">
    <w:name w:val="Heading 3"/>
    <w:basedOn w:val="1045"/>
    <w:next w:val="1045"/>
    <w:link w:val="121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1049">
    <w:name w:val="Heading 4"/>
    <w:basedOn w:val="1045"/>
    <w:next w:val="1045"/>
    <w:link w:val="1220"/>
    <w:qFormat/>
    <w:pPr>
      <w:keepNext/>
      <w:spacing w:before="240" w:after="60"/>
      <w:widowControl w:val="off"/>
      <w:outlineLvl w:val="3"/>
    </w:pPr>
    <w:rPr>
      <w:rFonts w:ascii="Calibri" w:hAnsi="Calibri" w:cs="Calibri"/>
      <w:b/>
      <w:bCs/>
      <w:sz w:val="28"/>
      <w:szCs w:val="28"/>
    </w:rPr>
  </w:style>
  <w:style w:type="paragraph" w:styleId="1050">
    <w:name w:val="Heading 5"/>
    <w:basedOn w:val="1045"/>
    <w:next w:val="1045"/>
    <w:link w:val="1221"/>
    <w:qFormat/>
    <w:pPr>
      <w:spacing w:before="240" w:after="60"/>
      <w:widowControl w:val="off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051">
    <w:name w:val="Heading 6"/>
    <w:basedOn w:val="1045"/>
    <w:next w:val="1045"/>
    <w:link w:val="1222"/>
    <w:qFormat/>
    <w:pPr>
      <w:ind w:left="1152" w:hanging="1152"/>
      <w:spacing w:before="240" w:after="60"/>
      <w:tabs>
        <w:tab w:val="num" w:pos="1152" w:leader="none"/>
      </w:tabs>
      <w:outlineLvl w:val="5"/>
    </w:pPr>
    <w:rPr>
      <w:b/>
      <w:bCs/>
      <w:sz w:val="22"/>
      <w:szCs w:val="22"/>
    </w:rPr>
  </w:style>
  <w:style w:type="paragraph" w:styleId="1052">
    <w:name w:val="Heading 7"/>
    <w:basedOn w:val="1045"/>
    <w:next w:val="1045"/>
    <w:link w:val="1223"/>
    <w:qFormat/>
    <w:pPr>
      <w:ind w:left="1296" w:hanging="1296"/>
      <w:spacing w:before="240" w:after="60"/>
      <w:tabs>
        <w:tab w:val="num" w:pos="1296" w:leader="none"/>
      </w:tabs>
      <w:outlineLvl w:val="6"/>
    </w:pPr>
  </w:style>
  <w:style w:type="paragraph" w:styleId="1053">
    <w:name w:val="Heading 8"/>
    <w:basedOn w:val="1045"/>
    <w:next w:val="1045"/>
    <w:link w:val="1224"/>
    <w:qFormat/>
    <w:pPr>
      <w:spacing w:before="240" w:after="60"/>
      <w:widowControl w:val="off"/>
      <w:outlineLvl w:val="7"/>
    </w:pPr>
    <w:rPr>
      <w:rFonts w:ascii="Calibri" w:hAnsi="Calibri" w:cs="Calibri"/>
      <w:i/>
      <w:iCs/>
    </w:rPr>
  </w:style>
  <w:style w:type="paragraph" w:styleId="1054">
    <w:name w:val="Heading 9"/>
    <w:basedOn w:val="1045"/>
    <w:next w:val="1045"/>
    <w:link w:val="1225"/>
    <w:qFormat/>
    <w:pPr>
      <w:ind w:left="1584" w:hanging="1584"/>
      <w:spacing w:before="240" w:after="60"/>
      <w:tabs>
        <w:tab w:val="num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1055" w:default="1">
    <w:name w:val="Default Paragraph Font"/>
    <w:uiPriority w:val="1"/>
    <w:semiHidden/>
    <w:unhideWhenUsed/>
  </w:style>
  <w:style w:type="table" w:styleId="10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7" w:default="1">
    <w:name w:val="No List"/>
    <w:uiPriority w:val="99"/>
    <w:semiHidden/>
    <w:unhideWhenUsed/>
  </w:style>
  <w:style w:type="character" w:styleId="1058" w:customStyle="1">
    <w:name w:val="Heading 1 Char"/>
    <w:basedOn w:val="1055"/>
    <w:uiPriority w:val="9"/>
    <w:rPr>
      <w:rFonts w:ascii="Arial" w:hAnsi="Arial" w:eastAsia="Arial" w:cs="Arial"/>
      <w:sz w:val="40"/>
      <w:szCs w:val="40"/>
    </w:rPr>
  </w:style>
  <w:style w:type="character" w:styleId="1059" w:customStyle="1">
    <w:name w:val="Heading 2 Char"/>
    <w:basedOn w:val="1055"/>
    <w:uiPriority w:val="9"/>
    <w:rPr>
      <w:rFonts w:ascii="Arial" w:hAnsi="Arial" w:eastAsia="Arial" w:cs="Arial"/>
      <w:sz w:val="34"/>
    </w:rPr>
  </w:style>
  <w:style w:type="character" w:styleId="1060" w:customStyle="1">
    <w:name w:val="Heading 3 Char"/>
    <w:basedOn w:val="1055"/>
    <w:uiPriority w:val="9"/>
    <w:rPr>
      <w:rFonts w:ascii="Arial" w:hAnsi="Arial" w:eastAsia="Arial" w:cs="Arial"/>
      <w:sz w:val="30"/>
      <w:szCs w:val="30"/>
    </w:rPr>
  </w:style>
  <w:style w:type="character" w:styleId="1061" w:customStyle="1">
    <w:name w:val="Heading 4 Char"/>
    <w:basedOn w:val="1055"/>
    <w:uiPriority w:val="9"/>
    <w:rPr>
      <w:rFonts w:ascii="Arial" w:hAnsi="Arial" w:eastAsia="Arial" w:cs="Arial"/>
      <w:b/>
      <w:bCs/>
      <w:sz w:val="26"/>
      <w:szCs w:val="26"/>
    </w:rPr>
  </w:style>
  <w:style w:type="character" w:styleId="1062" w:customStyle="1">
    <w:name w:val="Heading 5 Char"/>
    <w:basedOn w:val="1055"/>
    <w:uiPriority w:val="9"/>
    <w:rPr>
      <w:rFonts w:ascii="Arial" w:hAnsi="Arial" w:eastAsia="Arial" w:cs="Arial"/>
      <w:b/>
      <w:bCs/>
      <w:sz w:val="24"/>
      <w:szCs w:val="24"/>
    </w:rPr>
  </w:style>
  <w:style w:type="character" w:styleId="1063" w:customStyle="1">
    <w:name w:val="Heading 6 Char"/>
    <w:basedOn w:val="1055"/>
    <w:uiPriority w:val="9"/>
    <w:rPr>
      <w:rFonts w:ascii="Arial" w:hAnsi="Arial" w:eastAsia="Arial" w:cs="Arial"/>
      <w:b/>
      <w:bCs/>
      <w:sz w:val="22"/>
      <w:szCs w:val="22"/>
    </w:rPr>
  </w:style>
  <w:style w:type="character" w:styleId="1064" w:customStyle="1">
    <w:name w:val="Heading 7 Char"/>
    <w:basedOn w:val="10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65" w:customStyle="1">
    <w:name w:val="Heading 8 Char"/>
    <w:basedOn w:val="1055"/>
    <w:uiPriority w:val="9"/>
    <w:rPr>
      <w:rFonts w:ascii="Arial" w:hAnsi="Arial" w:eastAsia="Arial" w:cs="Arial"/>
      <w:i/>
      <w:iCs/>
      <w:sz w:val="22"/>
      <w:szCs w:val="22"/>
    </w:rPr>
  </w:style>
  <w:style w:type="character" w:styleId="1066" w:customStyle="1">
    <w:name w:val="Heading 9 Char"/>
    <w:basedOn w:val="1055"/>
    <w:uiPriority w:val="9"/>
    <w:rPr>
      <w:rFonts w:ascii="Arial" w:hAnsi="Arial" w:eastAsia="Arial" w:cs="Arial"/>
      <w:i/>
      <w:iCs/>
      <w:sz w:val="21"/>
      <w:szCs w:val="21"/>
    </w:rPr>
  </w:style>
  <w:style w:type="paragraph" w:styleId="1067">
    <w:name w:val="No Spacing"/>
    <w:uiPriority w:val="1"/>
    <w:qFormat/>
  </w:style>
  <w:style w:type="character" w:styleId="1068" w:customStyle="1">
    <w:name w:val="Title Char"/>
    <w:basedOn w:val="1055"/>
    <w:uiPriority w:val="10"/>
    <w:rPr>
      <w:sz w:val="48"/>
      <w:szCs w:val="48"/>
    </w:rPr>
  </w:style>
  <w:style w:type="paragraph" w:styleId="1069">
    <w:name w:val="Subtitle"/>
    <w:basedOn w:val="1045"/>
    <w:next w:val="1045"/>
    <w:link w:val="1070"/>
    <w:uiPriority w:val="11"/>
    <w:qFormat/>
    <w:pPr>
      <w:spacing w:before="200" w:after="200"/>
    </w:pPr>
  </w:style>
  <w:style w:type="character" w:styleId="1070" w:customStyle="1">
    <w:name w:val="Подзаголовок Знак"/>
    <w:basedOn w:val="1055"/>
    <w:link w:val="1069"/>
    <w:uiPriority w:val="11"/>
    <w:rPr>
      <w:sz w:val="24"/>
      <w:szCs w:val="24"/>
    </w:rPr>
  </w:style>
  <w:style w:type="paragraph" w:styleId="1071">
    <w:name w:val="Quote"/>
    <w:basedOn w:val="1045"/>
    <w:next w:val="1045"/>
    <w:link w:val="1072"/>
    <w:uiPriority w:val="29"/>
    <w:qFormat/>
    <w:pPr>
      <w:ind w:left="720" w:right="720"/>
    </w:pPr>
    <w:rPr>
      <w:i/>
    </w:rPr>
  </w:style>
  <w:style w:type="character" w:styleId="1072" w:customStyle="1">
    <w:name w:val="Цитата 2 Знак"/>
    <w:link w:val="1071"/>
    <w:uiPriority w:val="29"/>
    <w:rPr>
      <w:i/>
    </w:rPr>
  </w:style>
  <w:style w:type="paragraph" w:styleId="1073">
    <w:name w:val="Intense Quote"/>
    <w:basedOn w:val="1045"/>
    <w:next w:val="1045"/>
    <w:link w:val="10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74" w:customStyle="1">
    <w:name w:val="Выделенная цитата Знак"/>
    <w:link w:val="1073"/>
    <w:uiPriority w:val="30"/>
    <w:rPr>
      <w:i/>
    </w:rPr>
  </w:style>
  <w:style w:type="character" w:styleId="1075" w:customStyle="1">
    <w:name w:val="Header Char"/>
    <w:basedOn w:val="1055"/>
    <w:uiPriority w:val="99"/>
  </w:style>
  <w:style w:type="character" w:styleId="1076" w:customStyle="1">
    <w:name w:val="Footer Char"/>
    <w:basedOn w:val="1055"/>
    <w:uiPriority w:val="99"/>
  </w:style>
  <w:style w:type="paragraph" w:styleId="1077">
    <w:name w:val="Caption"/>
    <w:basedOn w:val="1045"/>
    <w:next w:val="10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78" w:customStyle="1">
    <w:name w:val="Caption Char"/>
    <w:uiPriority w:val="99"/>
  </w:style>
  <w:style w:type="table" w:styleId="1079">
    <w:name w:val="Table Grid"/>
    <w:basedOn w:val="105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0" w:customStyle="1">
    <w:name w:val="Table Grid Light"/>
    <w:basedOn w:val="105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81" w:customStyle="1">
    <w:name w:val="Plain Table 1"/>
    <w:basedOn w:val="105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2" w:customStyle="1">
    <w:name w:val="Plain Table 2"/>
    <w:basedOn w:val="105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3" w:customStyle="1">
    <w:name w:val="Plain Table 3"/>
    <w:basedOn w:val="105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84" w:customStyle="1">
    <w:name w:val="Plain Table 4"/>
    <w:basedOn w:val="105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 w:customStyle="1">
    <w:name w:val="Plain Table 5"/>
    <w:basedOn w:val="105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86" w:customStyle="1">
    <w:name w:val="Grid Table 1 Light"/>
    <w:basedOn w:val="105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 w:customStyle="1">
    <w:name w:val="Grid Table 1 Light - Accent 1"/>
    <w:basedOn w:val="105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 w:customStyle="1">
    <w:name w:val="Grid Table 1 Light - Accent 2"/>
    <w:basedOn w:val="105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 w:customStyle="1">
    <w:name w:val="Grid Table 1 Light - Accent 3"/>
    <w:basedOn w:val="105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 w:customStyle="1">
    <w:name w:val="Grid Table 1 Light - Accent 4"/>
    <w:basedOn w:val="105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 w:customStyle="1">
    <w:name w:val="Grid Table 1 Light - Accent 5"/>
    <w:basedOn w:val="105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 w:customStyle="1">
    <w:name w:val="Grid Table 1 Light - Accent 6"/>
    <w:basedOn w:val="105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 w:customStyle="1">
    <w:name w:val="Grid Table 2"/>
    <w:basedOn w:val="105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Grid Table 2 - Accent 1"/>
    <w:basedOn w:val="105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Grid Table 2 - Accent 2"/>
    <w:basedOn w:val="105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Grid Table 2 - Accent 3"/>
    <w:basedOn w:val="105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Grid Table 2 - Accent 4"/>
    <w:basedOn w:val="105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Grid Table 2 - Accent 5"/>
    <w:basedOn w:val="105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Grid Table 2 - Accent 6"/>
    <w:basedOn w:val="105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Grid Table 3"/>
    <w:basedOn w:val="105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 w:customStyle="1">
    <w:name w:val="Grid Table 3 - Accent 1"/>
    <w:basedOn w:val="105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Grid Table 3 - Accent 2"/>
    <w:basedOn w:val="105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 w:customStyle="1">
    <w:name w:val="Grid Table 3 - Accent 3"/>
    <w:basedOn w:val="105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 w:customStyle="1">
    <w:name w:val="Grid Table 3 - Accent 4"/>
    <w:basedOn w:val="105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 w:customStyle="1">
    <w:name w:val="Grid Table 3 - Accent 5"/>
    <w:basedOn w:val="105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 w:customStyle="1">
    <w:name w:val="Grid Table 3 - Accent 6"/>
    <w:basedOn w:val="105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 w:customStyle="1">
    <w:name w:val="Grid Table 4"/>
    <w:basedOn w:val="105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08" w:customStyle="1">
    <w:name w:val="Grid Table 4 - Accent 1"/>
    <w:basedOn w:val="105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09" w:customStyle="1">
    <w:name w:val="Grid Table 4 - Accent 2"/>
    <w:basedOn w:val="105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10" w:customStyle="1">
    <w:name w:val="Grid Table 4 - Accent 3"/>
    <w:basedOn w:val="105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11" w:customStyle="1">
    <w:name w:val="Grid Table 4 - Accent 4"/>
    <w:basedOn w:val="105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12" w:customStyle="1">
    <w:name w:val="Grid Table 4 - Accent 5"/>
    <w:basedOn w:val="105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13" w:customStyle="1">
    <w:name w:val="Grid Table 4 - Accent 6"/>
    <w:basedOn w:val="105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14" w:customStyle="1">
    <w:name w:val="Grid Table 5 Dark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15" w:customStyle="1">
    <w:name w:val="Grid Table 5 Dark- Accent 1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116" w:customStyle="1">
    <w:name w:val="Grid Table 5 Dark - Accent 2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117" w:customStyle="1">
    <w:name w:val="Grid Table 5 Dark - Accent 3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118" w:customStyle="1">
    <w:name w:val="Grid Table 5 Dark- Accent 4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119" w:customStyle="1">
    <w:name w:val="Grid Table 5 Dark - Accent 5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120" w:customStyle="1">
    <w:name w:val="Grid Table 5 Dark - Accent 6"/>
    <w:basedOn w:val="10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121" w:customStyle="1">
    <w:name w:val="Grid Table 6 Colorful"/>
    <w:basedOn w:val="105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22" w:customStyle="1">
    <w:name w:val="Grid Table 6 Colorful - Accent 1"/>
    <w:basedOn w:val="105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23" w:customStyle="1">
    <w:name w:val="Grid Table 6 Colorful - Accent 2"/>
    <w:basedOn w:val="105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24" w:customStyle="1">
    <w:name w:val="Grid Table 6 Colorful - Accent 3"/>
    <w:basedOn w:val="105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25" w:customStyle="1">
    <w:name w:val="Grid Table 6 Colorful - Accent 4"/>
    <w:basedOn w:val="105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26" w:customStyle="1">
    <w:name w:val="Grid Table 6 Colorful - Accent 5"/>
    <w:basedOn w:val="105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27" w:customStyle="1">
    <w:name w:val="Grid Table 6 Colorful - Accent 6"/>
    <w:basedOn w:val="105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28" w:customStyle="1">
    <w:name w:val="Grid Table 7 Colorful"/>
    <w:basedOn w:val="105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29" w:customStyle="1">
    <w:name w:val="Grid Table 7 Colorful - Accent 1"/>
    <w:basedOn w:val="105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0" w:customStyle="1">
    <w:name w:val="Grid Table 7 Colorful - Accent 2"/>
    <w:basedOn w:val="105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1" w:customStyle="1">
    <w:name w:val="Grid Table 7 Colorful - Accent 3"/>
    <w:basedOn w:val="105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2" w:customStyle="1">
    <w:name w:val="Grid Table 7 Colorful - Accent 4"/>
    <w:basedOn w:val="105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3" w:customStyle="1">
    <w:name w:val="Grid Table 7 Colorful - Accent 5"/>
    <w:basedOn w:val="105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4" w:customStyle="1">
    <w:name w:val="Grid Table 7 Colorful - Accent 6"/>
    <w:basedOn w:val="105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5" w:customStyle="1">
    <w:name w:val="List Table 1 Light"/>
    <w:basedOn w:val="105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 w:customStyle="1">
    <w:name w:val="List Table 1 Light - Accent 1"/>
    <w:basedOn w:val="105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 w:customStyle="1">
    <w:name w:val="List Table 1 Light - Accent 2"/>
    <w:basedOn w:val="105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 w:customStyle="1">
    <w:name w:val="List Table 1 Light - Accent 3"/>
    <w:basedOn w:val="105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 w:customStyle="1">
    <w:name w:val="List Table 1 Light - Accent 4"/>
    <w:basedOn w:val="105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 w:customStyle="1">
    <w:name w:val="List Table 1 Light - Accent 5"/>
    <w:basedOn w:val="105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 w:customStyle="1">
    <w:name w:val="List Table 1 Light - Accent 6"/>
    <w:basedOn w:val="105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 w:customStyle="1">
    <w:name w:val="List Table 2"/>
    <w:basedOn w:val="105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143" w:customStyle="1">
    <w:name w:val="List Table 2 - Accent 1"/>
    <w:basedOn w:val="105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144" w:customStyle="1">
    <w:name w:val="List Table 2 - Accent 2"/>
    <w:basedOn w:val="105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145" w:customStyle="1">
    <w:name w:val="List Table 2 - Accent 3"/>
    <w:basedOn w:val="105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146" w:customStyle="1">
    <w:name w:val="List Table 2 - Accent 4"/>
    <w:basedOn w:val="105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147" w:customStyle="1">
    <w:name w:val="List Table 2 - Accent 5"/>
    <w:basedOn w:val="105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148" w:customStyle="1">
    <w:name w:val="List Table 2 - Accent 6"/>
    <w:basedOn w:val="105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149" w:customStyle="1">
    <w:name w:val="List Table 3"/>
    <w:basedOn w:val="105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 w:customStyle="1">
    <w:name w:val="List Table 3 - Accent 1"/>
    <w:basedOn w:val="105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 w:customStyle="1">
    <w:name w:val="List Table 3 - Accent 2"/>
    <w:basedOn w:val="105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 w:customStyle="1">
    <w:name w:val="List Table 3 - Accent 3"/>
    <w:basedOn w:val="105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 w:customStyle="1">
    <w:name w:val="List Table 3 - Accent 4"/>
    <w:basedOn w:val="105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 w:customStyle="1">
    <w:name w:val="List Table 3 - Accent 5"/>
    <w:basedOn w:val="105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 w:customStyle="1">
    <w:name w:val="List Table 3 - Accent 6"/>
    <w:basedOn w:val="105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 w:customStyle="1">
    <w:name w:val="List Table 4"/>
    <w:basedOn w:val="105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 w:customStyle="1">
    <w:name w:val="List Table 4 - Accent 1"/>
    <w:basedOn w:val="105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 w:customStyle="1">
    <w:name w:val="List Table 4 - Accent 2"/>
    <w:basedOn w:val="105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 w:customStyle="1">
    <w:name w:val="List Table 4 - Accent 3"/>
    <w:basedOn w:val="105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 w:customStyle="1">
    <w:name w:val="List Table 4 - Accent 4"/>
    <w:basedOn w:val="105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 w:customStyle="1">
    <w:name w:val="List Table 4 - Accent 5"/>
    <w:basedOn w:val="105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 w:customStyle="1">
    <w:name w:val="List Table 4 - Accent 6"/>
    <w:basedOn w:val="105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3" w:customStyle="1">
    <w:name w:val="List Table 5 Dark"/>
    <w:basedOn w:val="105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4" w:customStyle="1">
    <w:name w:val="List Table 5 Dark - Accent 1"/>
    <w:basedOn w:val="105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5" w:customStyle="1">
    <w:name w:val="List Table 5 Dark - Accent 2"/>
    <w:basedOn w:val="105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6" w:customStyle="1">
    <w:name w:val="List Table 5 Dark - Accent 3"/>
    <w:basedOn w:val="105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7" w:customStyle="1">
    <w:name w:val="List Table 5 Dark - Accent 4"/>
    <w:basedOn w:val="105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8" w:customStyle="1">
    <w:name w:val="List Table 5 Dark - Accent 5"/>
    <w:basedOn w:val="105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9" w:customStyle="1">
    <w:name w:val="List Table 5 Dark - Accent 6"/>
    <w:basedOn w:val="105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0" w:customStyle="1">
    <w:name w:val="List Table 6 Colorful"/>
    <w:basedOn w:val="105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71" w:customStyle="1">
    <w:name w:val="List Table 6 Colorful - Accent 1"/>
    <w:basedOn w:val="105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72" w:customStyle="1">
    <w:name w:val="List Table 6 Colorful - Accent 2"/>
    <w:basedOn w:val="105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73" w:customStyle="1">
    <w:name w:val="List Table 6 Colorful - Accent 3"/>
    <w:basedOn w:val="105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74" w:customStyle="1">
    <w:name w:val="List Table 6 Colorful - Accent 4"/>
    <w:basedOn w:val="105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75" w:customStyle="1">
    <w:name w:val="List Table 6 Colorful - Accent 5"/>
    <w:basedOn w:val="105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76" w:customStyle="1">
    <w:name w:val="List Table 6 Colorful - Accent 6"/>
    <w:basedOn w:val="105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77" w:customStyle="1">
    <w:name w:val="List Table 7 Colorful"/>
    <w:basedOn w:val="105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8" w:customStyle="1">
    <w:name w:val="List Table 7 Colorful - Accent 1"/>
    <w:basedOn w:val="105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79" w:customStyle="1">
    <w:name w:val="List Table 7 Colorful - Accent 2"/>
    <w:basedOn w:val="105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0" w:customStyle="1">
    <w:name w:val="List Table 7 Colorful - Accent 3"/>
    <w:basedOn w:val="105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1" w:customStyle="1">
    <w:name w:val="List Table 7 Colorful - Accent 4"/>
    <w:basedOn w:val="105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2" w:customStyle="1">
    <w:name w:val="List Table 7 Colorful - Accent 5"/>
    <w:basedOn w:val="105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3" w:customStyle="1">
    <w:name w:val="List Table 7 Colorful - Accent 6"/>
    <w:basedOn w:val="105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4" w:customStyle="1">
    <w:name w:val="Lined - Accent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85" w:customStyle="1">
    <w:name w:val="Lined - Accent 1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86" w:customStyle="1">
    <w:name w:val="Lined - Accent 2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87" w:customStyle="1">
    <w:name w:val="Lined - Accent 3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88" w:customStyle="1">
    <w:name w:val="Lined - Accent 4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89" w:customStyle="1">
    <w:name w:val="Lined - Accent 5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90" w:customStyle="1">
    <w:name w:val="Lined - Accent 6"/>
    <w:basedOn w:val="105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91" w:customStyle="1">
    <w:name w:val="Bordered &amp; Lined - Accent"/>
    <w:basedOn w:val="105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92" w:customStyle="1">
    <w:name w:val="Bordered &amp; Lined - Accent 1"/>
    <w:basedOn w:val="105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93" w:customStyle="1">
    <w:name w:val="Bordered &amp; Lined - Accent 2"/>
    <w:basedOn w:val="105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94" w:customStyle="1">
    <w:name w:val="Bordered &amp; Lined - Accent 3"/>
    <w:basedOn w:val="105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95" w:customStyle="1">
    <w:name w:val="Bordered &amp; Lined - Accent 4"/>
    <w:basedOn w:val="105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96" w:customStyle="1">
    <w:name w:val="Bordered &amp; Lined - Accent 5"/>
    <w:basedOn w:val="105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97" w:customStyle="1">
    <w:name w:val="Bordered &amp; Lined - Accent 6"/>
    <w:basedOn w:val="105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98" w:customStyle="1">
    <w:name w:val="Bordered"/>
    <w:basedOn w:val="105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99" w:customStyle="1">
    <w:name w:val="Bordered - Accent 1"/>
    <w:basedOn w:val="105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00" w:customStyle="1">
    <w:name w:val="Bordered - Accent 2"/>
    <w:basedOn w:val="105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201" w:customStyle="1">
    <w:name w:val="Bordered - Accent 3"/>
    <w:basedOn w:val="105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202" w:customStyle="1">
    <w:name w:val="Bordered - Accent 4"/>
    <w:basedOn w:val="105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203" w:customStyle="1">
    <w:name w:val="Bordered - Accent 5"/>
    <w:basedOn w:val="105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204" w:customStyle="1">
    <w:name w:val="Bordered - Accent 6"/>
    <w:basedOn w:val="105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205" w:customStyle="1">
    <w:name w:val="Footnote Text Char"/>
    <w:uiPriority w:val="99"/>
    <w:rPr>
      <w:sz w:val="18"/>
    </w:rPr>
  </w:style>
  <w:style w:type="paragraph" w:styleId="1206">
    <w:name w:val="endnote text"/>
    <w:basedOn w:val="1045"/>
    <w:link w:val="1207"/>
    <w:uiPriority w:val="99"/>
    <w:semiHidden/>
    <w:unhideWhenUsed/>
    <w:rPr>
      <w:sz w:val="20"/>
    </w:rPr>
  </w:style>
  <w:style w:type="character" w:styleId="1207" w:customStyle="1">
    <w:name w:val="Текст концевой сноски Знак"/>
    <w:link w:val="1206"/>
    <w:uiPriority w:val="99"/>
    <w:rPr>
      <w:sz w:val="20"/>
    </w:rPr>
  </w:style>
  <w:style w:type="character" w:styleId="1208">
    <w:name w:val="endnote reference"/>
    <w:basedOn w:val="1055"/>
    <w:uiPriority w:val="99"/>
    <w:semiHidden/>
    <w:unhideWhenUsed/>
    <w:rPr>
      <w:vertAlign w:val="superscript"/>
    </w:rPr>
  </w:style>
  <w:style w:type="paragraph" w:styleId="1209">
    <w:name w:val="toc 4"/>
    <w:basedOn w:val="1045"/>
    <w:next w:val="1045"/>
    <w:uiPriority w:val="39"/>
    <w:unhideWhenUsed/>
    <w:pPr>
      <w:ind w:left="850"/>
      <w:spacing w:after="57"/>
    </w:pPr>
  </w:style>
  <w:style w:type="paragraph" w:styleId="1210">
    <w:name w:val="toc 5"/>
    <w:basedOn w:val="1045"/>
    <w:next w:val="1045"/>
    <w:uiPriority w:val="39"/>
    <w:unhideWhenUsed/>
    <w:pPr>
      <w:ind w:left="1134"/>
      <w:spacing w:after="57"/>
    </w:pPr>
  </w:style>
  <w:style w:type="paragraph" w:styleId="1211">
    <w:name w:val="toc 6"/>
    <w:basedOn w:val="1045"/>
    <w:next w:val="1045"/>
    <w:uiPriority w:val="39"/>
    <w:unhideWhenUsed/>
    <w:pPr>
      <w:ind w:left="1417"/>
      <w:spacing w:after="57"/>
    </w:pPr>
  </w:style>
  <w:style w:type="paragraph" w:styleId="1212">
    <w:name w:val="toc 7"/>
    <w:basedOn w:val="1045"/>
    <w:next w:val="1045"/>
    <w:uiPriority w:val="39"/>
    <w:unhideWhenUsed/>
    <w:pPr>
      <w:ind w:left="1701"/>
      <w:spacing w:after="57"/>
    </w:pPr>
  </w:style>
  <w:style w:type="paragraph" w:styleId="1213">
    <w:name w:val="toc 8"/>
    <w:basedOn w:val="1045"/>
    <w:next w:val="1045"/>
    <w:uiPriority w:val="39"/>
    <w:unhideWhenUsed/>
    <w:pPr>
      <w:ind w:left="1984"/>
      <w:spacing w:after="57"/>
    </w:pPr>
  </w:style>
  <w:style w:type="paragraph" w:styleId="1214">
    <w:name w:val="toc 9"/>
    <w:basedOn w:val="1045"/>
    <w:next w:val="1045"/>
    <w:uiPriority w:val="39"/>
    <w:unhideWhenUsed/>
    <w:pPr>
      <w:ind w:left="2268"/>
      <w:spacing w:after="57"/>
    </w:pPr>
  </w:style>
  <w:style w:type="paragraph" w:styleId="1215">
    <w:name w:val="table of figures"/>
    <w:basedOn w:val="1045"/>
    <w:next w:val="1045"/>
    <w:uiPriority w:val="99"/>
    <w:unhideWhenUsed/>
  </w:style>
  <w:style w:type="character" w:styleId="1216" w:customStyle="1">
    <w:name w:val="Заголовок 1 Знак"/>
    <w:link w:val="104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217" w:customStyle="1">
    <w:name w:val="Заголовок 2 Знак"/>
    <w:link w:val="1047"/>
    <w:rPr>
      <w:rFonts w:ascii="Cambria" w:hAnsi="Cambria" w:cs="Cambria"/>
      <w:b/>
      <w:bCs/>
      <w:i/>
      <w:iCs/>
      <w:sz w:val="28"/>
      <w:szCs w:val="28"/>
    </w:rPr>
  </w:style>
  <w:style w:type="character" w:styleId="1218" w:customStyle="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styleId="1219" w:customStyle="1">
    <w:name w:val="Заголовок 3 Знак"/>
    <w:link w:val="104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220" w:customStyle="1">
    <w:name w:val="Заголовок 4 Знак"/>
    <w:link w:val="1049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1221" w:customStyle="1">
    <w:name w:val="Заголовок 5 Знак"/>
    <w:link w:val="10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styleId="1222" w:customStyle="1">
    <w:name w:val="Заголовок 6 Знак"/>
    <w:link w:val="1051"/>
    <w:rPr>
      <w:b/>
      <w:bCs/>
      <w:sz w:val="22"/>
      <w:szCs w:val="22"/>
      <w:lang w:val="ru-RU" w:eastAsia="ru-RU" w:bidi="ar-SA"/>
    </w:rPr>
  </w:style>
  <w:style w:type="character" w:styleId="1223" w:customStyle="1">
    <w:name w:val="Заголовок 7 Знак"/>
    <w:link w:val="1052"/>
    <w:rPr>
      <w:sz w:val="24"/>
      <w:szCs w:val="24"/>
      <w:lang w:val="ru-RU" w:eastAsia="ru-RU" w:bidi="ar-SA"/>
    </w:rPr>
  </w:style>
  <w:style w:type="character" w:styleId="1224" w:customStyle="1">
    <w:name w:val="Заголовок 8 Знак"/>
    <w:link w:val="1053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styleId="1225" w:customStyle="1">
    <w:name w:val="Заголовок 9 Знак"/>
    <w:link w:val="1054"/>
    <w:rPr>
      <w:rFonts w:ascii="Arial" w:hAnsi="Arial" w:cs="Arial"/>
      <w:sz w:val="22"/>
      <w:szCs w:val="22"/>
      <w:lang w:val="ru-RU" w:eastAsia="ru-RU" w:bidi="ar-SA"/>
    </w:rPr>
  </w:style>
  <w:style w:type="paragraph" w:styleId="1226">
    <w:name w:val="Title"/>
    <w:basedOn w:val="1045"/>
    <w:link w:val="1227"/>
    <w:qFormat/>
    <w:pPr>
      <w:jc w:val="center"/>
    </w:pPr>
    <w:rPr>
      <w:b/>
      <w:bCs/>
      <w:sz w:val="28"/>
      <w:szCs w:val="28"/>
      <w:lang w:val="en-US"/>
    </w:rPr>
  </w:style>
  <w:style w:type="character" w:styleId="1227" w:customStyle="1">
    <w:name w:val="Название Знак"/>
    <w:link w:val="1226"/>
    <w:rPr>
      <w:b/>
      <w:bCs/>
      <w:sz w:val="28"/>
      <w:szCs w:val="28"/>
      <w:lang w:val="en-US" w:eastAsia="ru-RU" w:bidi="ar-SA"/>
    </w:rPr>
  </w:style>
  <w:style w:type="character" w:styleId="1228">
    <w:name w:val="Strong"/>
    <w:qFormat/>
    <w:rPr>
      <w:b/>
      <w:bCs/>
    </w:rPr>
  </w:style>
  <w:style w:type="paragraph" w:styleId="1229">
    <w:name w:val="List Paragraph"/>
    <w:basedOn w:val="1045"/>
    <w:link w:val="1249"/>
    <w:uiPriority w:val="34"/>
    <w:qFormat/>
    <w:pPr>
      <w:ind w:left="708"/>
    </w:pPr>
  </w:style>
  <w:style w:type="paragraph" w:styleId="1230">
    <w:name w:val="Header"/>
    <w:basedOn w:val="1045"/>
    <w:link w:val="1231"/>
    <w:uiPriority w:val="99"/>
    <w:pPr>
      <w:tabs>
        <w:tab w:val="center" w:pos="4677" w:leader="none"/>
        <w:tab w:val="right" w:pos="9355" w:leader="none"/>
      </w:tabs>
    </w:pPr>
  </w:style>
  <w:style w:type="character" w:styleId="1231" w:customStyle="1">
    <w:name w:val="Верхний колонтитул Знак"/>
    <w:link w:val="1230"/>
    <w:uiPriority w:val="99"/>
    <w:rPr>
      <w:sz w:val="24"/>
      <w:szCs w:val="24"/>
    </w:rPr>
  </w:style>
  <w:style w:type="character" w:styleId="1232">
    <w:name w:val="page number"/>
    <w:basedOn w:val="1055"/>
  </w:style>
  <w:style w:type="paragraph" w:styleId="1233">
    <w:name w:val="Footer"/>
    <w:basedOn w:val="1045"/>
    <w:link w:val="1234"/>
    <w:uiPriority w:val="99"/>
    <w:pPr>
      <w:ind w:left="72" w:firstLine="680"/>
      <w:jc w:val="both"/>
      <w:spacing w:line="300" w:lineRule="auto"/>
      <w:widowControl w:val="off"/>
      <w:tabs>
        <w:tab w:val="center" w:pos="4677" w:leader="none"/>
        <w:tab w:val="right" w:pos="9355" w:leader="none"/>
      </w:tabs>
    </w:pPr>
    <w:rPr>
      <w:rFonts w:eastAsia="MS Mincho"/>
      <w:spacing w:val="-2"/>
    </w:rPr>
  </w:style>
  <w:style w:type="character" w:styleId="1234" w:customStyle="1">
    <w:name w:val="Нижний колонтитул Знак"/>
    <w:link w:val="1233"/>
    <w:rPr>
      <w:rFonts w:eastAsia="MS Mincho"/>
      <w:spacing w:val="-2"/>
      <w:sz w:val="24"/>
      <w:szCs w:val="24"/>
    </w:rPr>
  </w:style>
  <w:style w:type="paragraph" w:styleId="1235" w:customStyle="1">
    <w:name w:val="Обычный1"/>
    <w:pPr>
      <w:ind w:firstLine="720"/>
      <w:jc w:val="both"/>
    </w:pPr>
    <w:rPr>
      <w:sz w:val="28"/>
    </w:rPr>
  </w:style>
  <w:style w:type="paragraph" w:styleId="1236">
    <w:name w:val="footnote text"/>
    <w:basedOn w:val="1045"/>
    <w:link w:val="1237"/>
    <w:uiPriority w:val="99"/>
    <w:unhideWhenUsed/>
    <w:rPr>
      <w:sz w:val="20"/>
      <w:szCs w:val="20"/>
    </w:rPr>
  </w:style>
  <w:style w:type="character" w:styleId="1237" w:customStyle="1">
    <w:name w:val="Текст сноски Знак"/>
    <w:basedOn w:val="1055"/>
    <w:link w:val="1236"/>
    <w:uiPriority w:val="99"/>
  </w:style>
  <w:style w:type="character" w:styleId="1238">
    <w:name w:val="footnote reference"/>
    <w:uiPriority w:val="99"/>
    <w:unhideWhenUsed/>
    <w:rPr>
      <w:vertAlign w:val="superscript"/>
    </w:rPr>
  </w:style>
  <w:style w:type="paragraph" w:styleId="1239">
    <w:name w:val="Balloon Text"/>
    <w:basedOn w:val="1045"/>
    <w:link w:val="1240"/>
    <w:uiPriority w:val="99"/>
    <w:semiHidden/>
    <w:unhideWhenUsed/>
    <w:rPr>
      <w:rFonts w:ascii="Tahoma" w:hAnsi="Tahoma" w:cs="Tahoma"/>
      <w:sz w:val="16"/>
      <w:szCs w:val="16"/>
    </w:rPr>
  </w:style>
  <w:style w:type="character" w:styleId="1240" w:customStyle="1">
    <w:name w:val="Текст выноски Знак"/>
    <w:link w:val="1239"/>
    <w:uiPriority w:val="99"/>
    <w:semiHidden/>
    <w:rPr>
      <w:rFonts w:ascii="Tahoma" w:hAnsi="Tahoma" w:cs="Tahoma"/>
      <w:sz w:val="16"/>
      <w:szCs w:val="16"/>
    </w:rPr>
  </w:style>
  <w:style w:type="paragraph" w:styleId="1241">
    <w:name w:val="Plain Text"/>
    <w:basedOn w:val="1045"/>
    <w:link w:val="1242"/>
    <w:uiPriority w:val="99"/>
    <w:pPr>
      <w:ind w:firstLine="900"/>
      <w:jc w:val="both"/>
      <w:tabs>
        <w:tab w:val="left" w:pos="360" w:leader="none"/>
      </w:tabs>
    </w:pPr>
    <w:rPr>
      <w:rFonts w:eastAsia="MS Mincho"/>
      <w:spacing w:val="-2"/>
      <w:sz w:val="26"/>
      <w:szCs w:val="20"/>
    </w:rPr>
  </w:style>
  <w:style w:type="character" w:styleId="1242" w:customStyle="1">
    <w:name w:val="Текст Знак"/>
    <w:link w:val="1241"/>
    <w:uiPriority w:val="99"/>
    <w:rPr>
      <w:rFonts w:eastAsia="MS Mincho"/>
      <w:spacing w:val="-2"/>
      <w:sz w:val="26"/>
    </w:rPr>
  </w:style>
  <w:style w:type="character" w:styleId="1243">
    <w:name w:val="Hyperlink"/>
    <w:uiPriority w:val="99"/>
    <w:unhideWhenUsed/>
    <w:rPr>
      <w:color w:val="0000ff"/>
      <w:u w:val="single"/>
    </w:rPr>
  </w:style>
  <w:style w:type="paragraph" w:styleId="1244">
    <w:name w:val="Body Text"/>
    <w:basedOn w:val="1045"/>
    <w:link w:val="1245"/>
    <w:pPr>
      <w:spacing w:after="120"/>
    </w:pPr>
  </w:style>
  <w:style w:type="character" w:styleId="1245" w:customStyle="1">
    <w:name w:val="Основной текст Знак"/>
    <w:basedOn w:val="1055"/>
    <w:link w:val="1244"/>
    <w:rPr>
      <w:sz w:val="24"/>
      <w:szCs w:val="24"/>
    </w:rPr>
  </w:style>
  <w:style w:type="character" w:styleId="1246" w:customStyle="1">
    <w:name w:val="value"/>
    <w:basedOn w:val="1055"/>
  </w:style>
  <w:style w:type="character" w:styleId="1247" w:customStyle="1">
    <w:name w:val="комментарий"/>
    <w:rPr>
      <w:b/>
      <w:i/>
      <w:shd w:val="clear" w:color="auto" w:fill="ffff99"/>
    </w:rPr>
  </w:style>
  <w:style w:type="character" w:styleId="1248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249" w:customStyle="1">
    <w:name w:val="Абзац списка Знак"/>
    <w:link w:val="1229"/>
    <w:uiPriority w:val="34"/>
    <w:qFormat/>
    <w:rPr>
      <w:sz w:val="24"/>
      <w:szCs w:val="24"/>
    </w:rPr>
  </w:style>
  <w:style w:type="paragraph" w:styleId="1250" w:customStyle="1">
    <w:name w:val="Style1"/>
    <w:basedOn w:val="1045"/>
    <w:pPr>
      <w:jc w:val="both"/>
      <w:spacing w:line="324" w:lineRule="exact"/>
      <w:widowControl w:val="off"/>
    </w:pPr>
  </w:style>
  <w:style w:type="paragraph" w:styleId="1251">
    <w:name w:val="toc 1"/>
    <w:basedOn w:val="1045"/>
    <w:next w:val="1045"/>
    <w:uiPriority w:val="39"/>
    <w:qFormat/>
    <w:pPr>
      <w:ind w:left="180"/>
      <w:widowControl w:val="off"/>
      <w:tabs>
        <w:tab w:val="right" w:pos="9818" w:leader="dot"/>
      </w:tabs>
    </w:pPr>
  </w:style>
  <w:style w:type="character" w:styleId="1252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253" w:customStyle="1">
    <w:name w:val="Верх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54" w:customStyle="1">
    <w:name w:val="Ниж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5">
    <w:name w:val="TOC Heading"/>
    <w:basedOn w:val="1046"/>
    <w:next w:val="1045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1256">
    <w:name w:val="annotation reference"/>
    <w:basedOn w:val="1055"/>
    <w:unhideWhenUsed/>
    <w:rPr>
      <w:sz w:val="16"/>
      <w:szCs w:val="16"/>
    </w:rPr>
  </w:style>
  <w:style w:type="paragraph" w:styleId="1257">
    <w:name w:val="annotation text"/>
    <w:basedOn w:val="1045"/>
    <w:link w:val="1258"/>
    <w:uiPriority w:val="99"/>
    <w:unhideWhenUsed/>
    <w:rPr>
      <w:sz w:val="20"/>
      <w:szCs w:val="20"/>
    </w:rPr>
  </w:style>
  <w:style w:type="character" w:styleId="1258" w:customStyle="1">
    <w:name w:val="Текст примечания Знак"/>
    <w:basedOn w:val="1055"/>
    <w:link w:val="1257"/>
    <w:uiPriority w:val="99"/>
  </w:style>
  <w:style w:type="paragraph" w:styleId="1259">
    <w:name w:val="annotation subject"/>
    <w:basedOn w:val="1257"/>
    <w:next w:val="1257"/>
    <w:link w:val="1260"/>
    <w:uiPriority w:val="99"/>
    <w:semiHidden/>
    <w:unhideWhenUsed/>
    <w:rPr>
      <w:b/>
      <w:bCs/>
    </w:rPr>
  </w:style>
  <w:style w:type="character" w:styleId="1260" w:customStyle="1">
    <w:name w:val="Тема примечания Знак"/>
    <w:basedOn w:val="1258"/>
    <w:link w:val="1259"/>
    <w:uiPriority w:val="99"/>
    <w:semiHidden/>
    <w:rPr>
      <w:b/>
      <w:bCs/>
    </w:rPr>
  </w:style>
  <w:style w:type="paragraph" w:styleId="1261" w:customStyle="1">
    <w:name w:val="Пункт2 Знак"/>
    <w:basedOn w:val="1045"/>
    <w:link w:val="1262"/>
    <w:pPr>
      <w:numPr>
        <w:ilvl w:val="2"/>
        <w:numId w:val="5"/>
      </w:numPr>
      <w:keepNext/>
      <w:spacing w:before="240" w:after="120"/>
      <w:outlineLvl w:val="2"/>
    </w:pPr>
    <w:rPr>
      <w:b/>
      <w:sz w:val="28"/>
      <w:szCs w:val="20"/>
    </w:rPr>
  </w:style>
  <w:style w:type="character" w:styleId="1262" w:customStyle="1">
    <w:name w:val="Пункт2 Знак Знак"/>
    <w:link w:val="1261"/>
    <w:rPr>
      <w:b/>
      <w:sz w:val="28"/>
    </w:rPr>
  </w:style>
  <w:style w:type="paragraph" w:styleId="1263">
    <w:name w:val="Body Text Indent"/>
    <w:basedOn w:val="1045"/>
    <w:link w:val="1264"/>
    <w:uiPriority w:val="99"/>
    <w:semiHidden/>
    <w:unhideWhenUsed/>
    <w:pPr>
      <w:ind w:left="283"/>
      <w:spacing w:after="120"/>
    </w:pPr>
  </w:style>
  <w:style w:type="character" w:styleId="1264" w:customStyle="1">
    <w:name w:val="Основной текст с отступом Знак"/>
    <w:basedOn w:val="1055"/>
    <w:link w:val="1263"/>
    <w:uiPriority w:val="99"/>
    <w:semiHidden/>
    <w:rPr>
      <w:sz w:val="24"/>
      <w:szCs w:val="24"/>
    </w:rPr>
  </w:style>
  <w:style w:type="paragraph" w:styleId="1265" w:customStyle="1">
    <w:name w:val="Times 12"/>
    <w:basedOn w:val="1045"/>
    <w:pPr>
      <w:ind w:firstLine="567"/>
      <w:jc w:val="both"/>
    </w:pPr>
    <w:rPr>
      <w:bCs/>
      <w:szCs w:val="22"/>
    </w:rPr>
  </w:style>
  <w:style w:type="paragraph" w:styleId="1266" w:customStyle="1">
    <w:name w:val="Подпункт"/>
    <w:basedOn w:val="1045"/>
    <w:link w:val="1267"/>
    <w:pPr>
      <w:ind w:left="1701" w:hanging="1134"/>
      <w:jc w:val="both"/>
      <w:spacing w:line="360" w:lineRule="auto"/>
      <w:tabs>
        <w:tab w:val="num" w:pos="1701" w:leader="none"/>
      </w:tabs>
    </w:pPr>
    <w:rPr>
      <w:sz w:val="22"/>
      <w:szCs w:val="20"/>
    </w:rPr>
  </w:style>
  <w:style w:type="character" w:styleId="1267" w:customStyle="1">
    <w:name w:val="Подпункт Знак1"/>
    <w:link w:val="1266"/>
    <w:rPr>
      <w:sz w:val="22"/>
    </w:rPr>
  </w:style>
  <w:style w:type="paragraph" w:styleId="1268" w:customStyle="1">
    <w:name w:val="Подподпункт"/>
    <w:basedOn w:val="1266"/>
    <w:uiPriority w:val="99"/>
    <w:pPr>
      <w:numPr>
        <w:ilvl w:val="0"/>
        <w:numId w:val="9"/>
      </w:numPr>
      <w:ind w:left="1827"/>
      <w:tabs>
        <w:tab w:val="clear" w:pos="360" w:leader="none"/>
      </w:tabs>
    </w:pPr>
  </w:style>
  <w:style w:type="paragraph" w:styleId="1269" w:customStyle="1">
    <w:name w:val="АриалСписок"/>
    <w:basedOn w:val="1045"/>
    <w:uiPriority w:val="99"/>
    <w:pPr>
      <w:numPr>
        <w:ilvl w:val="0"/>
        <w:numId w:val="3"/>
      </w:numPr>
      <w:ind w:left="1571"/>
      <w:jc w:val="both"/>
      <w:tabs>
        <w:tab w:val="num" w:pos="1571" w:leader="none"/>
      </w:tabs>
    </w:pPr>
    <w:rPr>
      <w:rFonts w:ascii="Arial" w:hAnsi="Arial" w:cs="Arial"/>
    </w:rPr>
  </w:style>
  <w:style w:type="numbering" w:styleId="1270" w:customStyle="1">
    <w:name w:val="Стиль511"/>
    <w:uiPriority w:val="99"/>
    <w:pPr>
      <w:numPr>
        <w:ilvl w:val="0"/>
        <w:numId w:val="10"/>
      </w:numPr>
    </w:pPr>
  </w:style>
  <w:style w:type="character" w:styleId="1271" w:customStyle="1">
    <w:name w:val="П.1 Char"/>
    <w:link w:val="1272"/>
    <w:rPr>
      <w:sz w:val="24"/>
      <w:szCs w:val="24"/>
    </w:rPr>
  </w:style>
  <w:style w:type="paragraph" w:styleId="1272" w:customStyle="1">
    <w:name w:val="П.1"/>
    <w:basedOn w:val="1045"/>
    <w:link w:val="1271"/>
    <w:qFormat/>
    <w:pPr>
      <w:numPr>
        <w:ilvl w:val="1"/>
        <w:numId w:val="23"/>
      </w:numPr>
      <w:jc w:val="both"/>
    </w:pPr>
  </w:style>
  <w:style w:type="paragraph" w:styleId="1273" w:customStyle="1">
    <w:name w:val="П.1.1"/>
    <w:basedOn w:val="1045"/>
    <w:qFormat/>
    <w:pPr>
      <w:numPr>
        <w:ilvl w:val="2"/>
        <w:numId w:val="23"/>
      </w:numPr>
      <w:jc w:val="both"/>
    </w:pPr>
    <w:rPr>
      <w:rFonts w:ascii="Calibri" w:hAnsi="Calibri" w:eastAsia="Calibri"/>
    </w:rPr>
  </w:style>
  <w:style w:type="paragraph" w:styleId="1274" w:customStyle="1">
    <w:name w:val="П.1.1.1"/>
    <w:basedOn w:val="1045"/>
    <w:qFormat/>
    <w:pPr>
      <w:numPr>
        <w:ilvl w:val="3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75" w:customStyle="1">
    <w:name w:val="П.1.1.1.1"/>
    <w:basedOn w:val="1045"/>
    <w:qFormat/>
    <w:pPr>
      <w:numPr>
        <w:ilvl w:val="4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76" w:customStyle="1">
    <w:name w:val="П.1.1.1.1.1"/>
    <w:basedOn w:val="1045"/>
    <w:qFormat/>
    <w:pPr>
      <w:numPr>
        <w:ilvl w:val="5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77" w:customStyle="1">
    <w:name w:val="П.глава"/>
    <w:basedOn w:val="1045"/>
    <w:qFormat/>
    <w:pPr>
      <w:numPr>
        <w:ilvl w:val="0"/>
        <w:numId w:val="23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78" w:customStyle="1">
    <w:name w:val="Заголовок_1"/>
    <w:basedOn w:val="1045"/>
    <w:uiPriority w:val="99"/>
    <w:pPr>
      <w:numPr>
        <w:ilvl w:val="0"/>
        <w:numId w:val="2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79" w:customStyle="1">
    <w:name w:val="Пункт_3"/>
    <w:basedOn w:val="1045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styleId="1280" w:customStyle="1">
    <w:name w:val="Пункт_2"/>
    <w:basedOn w:val="1045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styleId="1281" w:customStyle="1">
    <w:name w:val="Пункт_5"/>
    <w:basedOn w:val="1279"/>
    <w:uiPriority w:val="99"/>
    <w:pPr>
      <w:numPr>
        <w:ilvl w:val="4"/>
      </w:numPr>
    </w:pPr>
  </w:style>
  <w:style w:type="paragraph" w:styleId="1282" w:customStyle="1">
    <w:name w:val="Пункт"/>
    <w:basedOn w:val="1045"/>
    <w:link w:val="1283"/>
    <w:pPr>
      <w:numPr>
        <w:ilvl w:val="2"/>
        <w:numId w:val="6"/>
      </w:numPr>
      <w:jc w:val="both"/>
      <w:spacing w:line="360" w:lineRule="auto"/>
    </w:pPr>
    <w:rPr>
      <w:sz w:val="22"/>
      <w:szCs w:val="20"/>
    </w:rPr>
  </w:style>
  <w:style w:type="character" w:styleId="1283" w:customStyle="1">
    <w:name w:val="Пункт Знак1"/>
    <w:link w:val="1282"/>
    <w:rPr>
      <w:sz w:val="22"/>
    </w:rPr>
  </w:style>
  <w:style w:type="paragraph" w:styleId="1284">
    <w:name w:val="toc 3"/>
    <w:basedOn w:val="1045"/>
    <w:next w:val="1045"/>
    <w:uiPriority w:val="39"/>
    <w:unhideWhenUsed/>
    <w:pPr>
      <w:ind w:left="480"/>
      <w:spacing w:after="100"/>
    </w:pPr>
  </w:style>
  <w:style w:type="paragraph" w:styleId="1285">
    <w:name w:val="toc 2"/>
    <w:basedOn w:val="1045"/>
    <w:next w:val="1045"/>
    <w:uiPriority w:val="39"/>
    <w:unhideWhenUsed/>
    <w:pPr>
      <w:ind w:left="240"/>
      <w:spacing w:after="100"/>
    </w:pPr>
  </w:style>
  <w:style w:type="paragraph" w:styleId="1286" w:customStyle="1">
    <w:name w:val="_Маркер (номер) - с заголовком"/>
    <w:basedOn w:val="1045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hyperlink" Target="mailto:client@rossetimr.ru" TargetMode="External"/><Relationship Id="rId22" Type="http://schemas.openxmlformats.org/officeDocument/2006/relationships/hyperlink" Target="mailto:GusevKV@rossetimr.ru%20" TargetMode="External"/><Relationship Id="rId23" Type="http://schemas.openxmlformats.org/officeDocument/2006/relationships/hyperlink" Target="https://tender.lot-online.ru" TargetMode="External"/><Relationship Id="rId24" Type="http://schemas.openxmlformats.org/officeDocument/2006/relationships/hyperlink" Target="https://tender.lot-online.ru" TargetMode="External"/><Relationship Id="rId25" Type="http://schemas.openxmlformats.org/officeDocument/2006/relationships/hyperlink" Target="http://www.rossetimr.ru" TargetMode="External"/><Relationship Id="rId26" Type="http://schemas.openxmlformats.org/officeDocument/2006/relationships/hyperlink" Target="https://tender.lot-online.ru" TargetMode="External"/><Relationship Id="rId27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0F5F-FE1F-4F4A-AAFA-CBCC69AC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revision>55</cp:revision>
  <dcterms:created xsi:type="dcterms:W3CDTF">2024-12-17T08:57:00Z</dcterms:created>
  <dcterms:modified xsi:type="dcterms:W3CDTF">2025-03-03T06:18:40Z</dcterms:modified>
</cp:coreProperties>
</file>